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1" w:type="dxa"/>
        <w:tblInd w:w="-5" w:type="dxa"/>
        <w:tblLook w:val="04A0" w:firstRow="1" w:lastRow="0" w:firstColumn="1" w:lastColumn="0" w:noHBand="0" w:noVBand="1"/>
      </w:tblPr>
      <w:tblGrid>
        <w:gridCol w:w="4258"/>
        <w:gridCol w:w="5103"/>
      </w:tblGrid>
      <w:tr w:rsidR="00B03DEE" w:rsidRPr="00C737AC" w14:paraId="00015022" w14:textId="77777777" w:rsidTr="00155C3A">
        <w:trPr>
          <w:trHeight w:val="1731"/>
        </w:trPr>
        <w:tc>
          <w:tcPr>
            <w:tcW w:w="4258" w:type="dxa"/>
            <w:shd w:val="clear" w:color="auto" w:fill="auto"/>
          </w:tcPr>
          <w:p w14:paraId="41EC9694" w14:textId="2F6CA3D1" w:rsidR="00B03DEE" w:rsidRPr="00C737AC" w:rsidRDefault="00B03DEE" w:rsidP="00B03DE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737AC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anchor distT="0" distB="0" distL="114300" distR="114300" simplePos="0" relativeHeight="251659264" behindDoc="1" locked="0" layoutInCell="1" allowOverlap="1" wp14:anchorId="097A5122" wp14:editId="75072D95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60325</wp:posOffset>
                  </wp:positionV>
                  <wp:extent cx="1295400" cy="936625"/>
                  <wp:effectExtent l="0" t="0" r="0" b="0"/>
                  <wp:wrapNone/>
                  <wp:docPr id="2" name="Picture 2" descr="gerb_color_ME_bg_w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color_ME_bg_w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93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5973FF" w14:textId="77777777" w:rsidR="00B03DEE" w:rsidRPr="00C737AC" w:rsidRDefault="00B03DEE" w:rsidP="00B03DE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  <w:p w14:paraId="7EC3DB5E" w14:textId="77777777" w:rsidR="00B03DEE" w:rsidRPr="00C737AC" w:rsidRDefault="00B03DEE" w:rsidP="00B03DEE">
            <w:pPr>
              <w:tabs>
                <w:tab w:val="center" w:pos="4153"/>
                <w:tab w:val="right" w:pos="9356"/>
              </w:tabs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napToGrid w:val="0"/>
                <w:sz w:val="20"/>
                <w:szCs w:val="20"/>
                <w:lang w:eastAsia="bg-BG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14:paraId="3AC3AE45" w14:textId="20373557" w:rsidR="00B03DEE" w:rsidRPr="00C737AC" w:rsidRDefault="00B03DEE" w:rsidP="00B03DEE">
            <w:pPr>
              <w:tabs>
                <w:tab w:val="center" w:pos="4153"/>
                <w:tab w:val="right" w:pos="9356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napToGrid w:val="0"/>
                <w:sz w:val="20"/>
                <w:szCs w:val="20"/>
                <w:lang w:val="en-GB" w:eastAsia="bg-BG"/>
              </w:rPr>
            </w:pPr>
            <w:r w:rsidRPr="00C737AC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anchor distT="0" distB="0" distL="114300" distR="114300" simplePos="0" relativeHeight="251660288" behindDoc="1" locked="0" layoutInCell="1" allowOverlap="1" wp14:anchorId="34873442" wp14:editId="6E647DB3">
                  <wp:simplePos x="0" y="0"/>
                  <wp:positionH relativeFrom="margin">
                    <wp:posOffset>780415</wp:posOffset>
                  </wp:positionH>
                  <wp:positionV relativeFrom="paragraph">
                    <wp:posOffset>154940</wp:posOffset>
                  </wp:positionV>
                  <wp:extent cx="2642235" cy="730250"/>
                  <wp:effectExtent l="0" t="0" r="0" b="0"/>
                  <wp:wrapNone/>
                  <wp:docPr id="1" name="Picture 1" descr="BG Финансирано от Европейския съюз_P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G Финансирано от Европейския съюз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235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BC18CA8" w14:textId="77777777" w:rsidR="0038147B" w:rsidRPr="00C737AC" w:rsidRDefault="0038147B" w:rsidP="003D607A">
      <w:pPr>
        <w:spacing w:after="0" w:line="276" w:lineRule="auto"/>
        <w:jc w:val="right"/>
        <w:rPr>
          <w:rFonts w:ascii="Verdana" w:hAnsi="Verdana" w:cs="Times New Roman"/>
          <w:b/>
          <w:sz w:val="20"/>
          <w:szCs w:val="20"/>
        </w:rPr>
      </w:pPr>
    </w:p>
    <w:p w14:paraId="73B74463" w14:textId="3BF89789" w:rsidR="003D607A" w:rsidRPr="00077769" w:rsidRDefault="003D607A" w:rsidP="003D607A">
      <w:pPr>
        <w:spacing w:after="0" w:line="276" w:lineRule="auto"/>
        <w:jc w:val="right"/>
        <w:rPr>
          <w:rFonts w:ascii="Verdana" w:hAnsi="Verdana" w:cs="Times New Roman"/>
          <w:b/>
          <w:sz w:val="20"/>
          <w:szCs w:val="20"/>
        </w:rPr>
      </w:pPr>
      <w:r w:rsidRPr="00C737AC">
        <w:rPr>
          <w:rFonts w:ascii="Verdana" w:hAnsi="Verdana" w:cs="Times New Roman"/>
          <w:b/>
          <w:sz w:val="20"/>
          <w:szCs w:val="20"/>
        </w:rPr>
        <w:t xml:space="preserve">Приложение </w:t>
      </w:r>
      <w:r w:rsidR="00BA1A0C" w:rsidRPr="00C737AC">
        <w:rPr>
          <w:rFonts w:ascii="Verdana" w:hAnsi="Verdana" w:cs="Times New Roman"/>
          <w:b/>
          <w:sz w:val="20"/>
          <w:szCs w:val="20"/>
        </w:rPr>
        <w:t>1</w:t>
      </w:r>
      <w:r w:rsidR="00077769">
        <w:rPr>
          <w:rFonts w:ascii="Verdana" w:hAnsi="Verdana" w:cs="Times New Roman"/>
          <w:b/>
          <w:sz w:val="20"/>
          <w:szCs w:val="20"/>
        </w:rPr>
        <w:t>3</w:t>
      </w:r>
    </w:p>
    <w:p w14:paraId="792C2F74" w14:textId="09F1E4BE" w:rsidR="003D607A" w:rsidRPr="00C737AC" w:rsidRDefault="003D607A" w:rsidP="005C220C">
      <w:pPr>
        <w:spacing w:after="0" w:line="276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1FE1036C" w14:textId="77777777" w:rsidR="00A83C2D" w:rsidRPr="00C737AC" w:rsidRDefault="00A83C2D" w:rsidP="005C220C">
      <w:pPr>
        <w:spacing w:after="0" w:line="276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2B3F665D" w14:textId="68C34A30" w:rsidR="009075F4" w:rsidRPr="00C737AC" w:rsidRDefault="00D20CA9" w:rsidP="00B03DEE">
      <w:pPr>
        <w:spacing w:after="0" w:line="276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C737AC">
        <w:rPr>
          <w:rFonts w:ascii="Verdana" w:hAnsi="Verdana" w:cs="Times New Roman"/>
          <w:b/>
          <w:sz w:val="20"/>
          <w:szCs w:val="20"/>
        </w:rPr>
        <w:t>Минимални</w:t>
      </w:r>
      <w:r w:rsidRPr="00C737AC">
        <w:rPr>
          <w:rFonts w:ascii="Verdana" w:hAnsi="Verdana" w:cs="Times New Roman"/>
          <w:b/>
          <w:sz w:val="20"/>
          <w:szCs w:val="20"/>
          <w:lang w:val="en-US"/>
        </w:rPr>
        <w:t xml:space="preserve"> </w:t>
      </w:r>
      <w:r w:rsidRPr="00C737AC">
        <w:rPr>
          <w:rFonts w:ascii="Verdana" w:hAnsi="Verdana" w:cs="Times New Roman"/>
          <w:b/>
          <w:sz w:val="20"/>
          <w:szCs w:val="20"/>
        </w:rPr>
        <w:t>технически изисквания</w:t>
      </w:r>
    </w:p>
    <w:p w14:paraId="3A46B95B" w14:textId="77777777" w:rsidR="00D20CA9" w:rsidRPr="00C737AC" w:rsidRDefault="00D20CA9" w:rsidP="005C220C">
      <w:pPr>
        <w:spacing w:after="0" w:line="276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5B29845B" w14:textId="64545522" w:rsidR="00C737AC" w:rsidRPr="00C737AC" w:rsidRDefault="00C737AC" w:rsidP="00C737AC">
      <w:pPr>
        <w:tabs>
          <w:tab w:val="left" w:pos="1078"/>
        </w:tabs>
        <w:spacing w:before="60" w:after="60"/>
        <w:ind w:left="113"/>
        <w:rPr>
          <w:rFonts w:ascii="Verdana" w:hAnsi="Verdana"/>
          <w:b/>
          <w:sz w:val="20"/>
          <w:szCs w:val="20"/>
          <w:lang w:eastAsia="pl-PL"/>
        </w:rPr>
      </w:pPr>
      <w:r w:rsidRPr="00C737AC">
        <w:rPr>
          <w:rFonts w:ascii="Verdana" w:hAnsi="Verdana"/>
          <w:b/>
          <w:sz w:val="20"/>
          <w:szCs w:val="20"/>
          <w:lang w:eastAsia="pl-PL"/>
        </w:rPr>
        <w:tab/>
      </w:r>
      <w:r w:rsidRPr="00C737AC">
        <w:rPr>
          <w:rFonts w:ascii="Verdana" w:hAnsi="Verdana"/>
          <w:b/>
          <w:sz w:val="20"/>
          <w:szCs w:val="20"/>
          <w:lang w:eastAsia="pl-PL"/>
        </w:rPr>
        <w:tab/>
      </w:r>
    </w:p>
    <w:tbl>
      <w:tblPr>
        <w:tblStyle w:val="TableGrid2"/>
        <w:tblW w:w="9351" w:type="dxa"/>
        <w:tblLook w:val="04A0" w:firstRow="1" w:lastRow="0" w:firstColumn="1" w:lastColumn="0" w:noHBand="0" w:noVBand="1"/>
      </w:tblPr>
      <w:tblGrid>
        <w:gridCol w:w="553"/>
        <w:gridCol w:w="5303"/>
        <w:gridCol w:w="1652"/>
        <w:gridCol w:w="1843"/>
      </w:tblGrid>
      <w:tr w:rsidR="00C737AC" w:rsidRPr="00C737AC" w14:paraId="078D276B" w14:textId="77777777" w:rsidTr="00966C48">
        <w:tc>
          <w:tcPr>
            <w:tcW w:w="553" w:type="dxa"/>
            <w:vAlign w:val="center"/>
          </w:tcPr>
          <w:p w14:paraId="62C77C96" w14:textId="77777777" w:rsidR="00C737AC" w:rsidRPr="00C737AC" w:rsidRDefault="00C737AC" w:rsidP="00966C48">
            <w:pPr>
              <w:spacing w:before="120" w:after="120"/>
              <w:jc w:val="center"/>
              <w:rPr>
                <w:rFonts w:ascii="Verdana" w:eastAsia="SimSun" w:hAnsi="Verdana" w:cs="Times New Roman"/>
                <w:b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b/>
                <w:sz w:val="20"/>
                <w:szCs w:val="20"/>
                <w:lang w:val="bg-BG" w:eastAsia="bg-BG"/>
              </w:rPr>
              <w:t>№</w:t>
            </w:r>
          </w:p>
        </w:tc>
        <w:tc>
          <w:tcPr>
            <w:tcW w:w="5303" w:type="dxa"/>
          </w:tcPr>
          <w:p w14:paraId="1A03650E" w14:textId="77777777" w:rsidR="00C737AC" w:rsidRPr="00C737AC" w:rsidRDefault="00C737AC" w:rsidP="00C737AC">
            <w:pPr>
              <w:spacing w:before="120" w:after="120"/>
              <w:jc w:val="center"/>
              <w:rPr>
                <w:rFonts w:ascii="Verdana" w:eastAsia="SimSun" w:hAnsi="Verdana" w:cs="Times New Roman"/>
                <w:b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b/>
                <w:sz w:val="20"/>
                <w:szCs w:val="20"/>
                <w:lang w:val="bg-BG" w:eastAsia="bg-BG"/>
              </w:rPr>
              <w:t>Параметър</w:t>
            </w:r>
          </w:p>
        </w:tc>
        <w:tc>
          <w:tcPr>
            <w:tcW w:w="1652" w:type="dxa"/>
          </w:tcPr>
          <w:p w14:paraId="0F488668" w14:textId="77777777" w:rsidR="00C737AC" w:rsidRPr="00C737AC" w:rsidRDefault="00C737AC" w:rsidP="00C737AC">
            <w:pPr>
              <w:spacing w:before="120" w:after="120"/>
              <w:jc w:val="center"/>
              <w:rPr>
                <w:rFonts w:ascii="Verdana" w:eastAsia="SimSun" w:hAnsi="Verdana" w:cs="Times New Roman"/>
                <w:b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b/>
                <w:sz w:val="20"/>
                <w:szCs w:val="20"/>
                <w:lang w:val="bg-BG" w:eastAsia="bg-BG"/>
              </w:rPr>
              <w:t>Мерна единица</w:t>
            </w:r>
          </w:p>
        </w:tc>
        <w:tc>
          <w:tcPr>
            <w:tcW w:w="1843" w:type="dxa"/>
          </w:tcPr>
          <w:p w14:paraId="6C58FFB9" w14:textId="77777777" w:rsidR="00C737AC" w:rsidRPr="00C737AC" w:rsidRDefault="00C737AC" w:rsidP="00C737AC">
            <w:pPr>
              <w:spacing w:before="120" w:after="120"/>
              <w:jc w:val="center"/>
              <w:rPr>
                <w:rFonts w:ascii="Verdana" w:eastAsia="SimSun" w:hAnsi="Verdana" w:cs="Times New Roman"/>
                <w:b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b/>
                <w:sz w:val="20"/>
                <w:szCs w:val="20"/>
                <w:lang w:val="bg-BG" w:eastAsia="bg-BG"/>
              </w:rPr>
              <w:t>Минимална изисквана стойност</w:t>
            </w:r>
          </w:p>
        </w:tc>
      </w:tr>
      <w:tr w:rsidR="00C737AC" w:rsidRPr="00C737AC" w14:paraId="498691EC" w14:textId="77777777" w:rsidTr="00966C48">
        <w:tc>
          <w:tcPr>
            <w:tcW w:w="553" w:type="dxa"/>
            <w:vAlign w:val="center"/>
          </w:tcPr>
          <w:p w14:paraId="0B9A487F" w14:textId="15687616" w:rsidR="00C737AC" w:rsidRPr="00C737AC" w:rsidRDefault="00C737AC" w:rsidP="00966C48">
            <w:pPr>
              <w:pStyle w:val="ListParagraph"/>
              <w:numPr>
                <w:ilvl w:val="0"/>
                <w:numId w:val="8"/>
              </w:numPr>
              <w:tabs>
                <w:tab w:val="left" w:pos="345"/>
              </w:tabs>
              <w:spacing w:before="120" w:after="120"/>
              <w:jc w:val="center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5303" w:type="dxa"/>
            <w:vAlign w:val="center"/>
          </w:tcPr>
          <w:p w14:paraId="38DBE304" w14:textId="77777777" w:rsidR="00C737AC" w:rsidRPr="00C737AC" w:rsidRDefault="00C737AC" w:rsidP="00C737AC">
            <w:pPr>
              <w:spacing w:before="120" w:after="120"/>
              <w:jc w:val="left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Експлоатационен живот в цикли</w:t>
            </w:r>
          </w:p>
        </w:tc>
        <w:tc>
          <w:tcPr>
            <w:tcW w:w="1652" w:type="dxa"/>
          </w:tcPr>
          <w:p w14:paraId="66A0D0BD" w14:textId="43AF512A" w:rsidR="00C737AC" w:rsidRPr="00C737AC" w:rsidRDefault="00C737AC" w:rsidP="00C737AC">
            <w:pPr>
              <w:spacing w:before="120" w:after="120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Брой</w:t>
            </w:r>
          </w:p>
        </w:tc>
        <w:tc>
          <w:tcPr>
            <w:tcW w:w="1843" w:type="dxa"/>
          </w:tcPr>
          <w:p w14:paraId="4274DD05" w14:textId="5F40E726" w:rsidR="00C737AC" w:rsidRPr="00C737AC" w:rsidRDefault="00C737AC" w:rsidP="00FC004E">
            <w:pPr>
              <w:spacing w:before="120" w:after="120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≥ </w:t>
            </w:r>
            <w:r w:rsidR="00FC004E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2</w:t>
            </w: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 000 цикъла </w:t>
            </w:r>
          </w:p>
        </w:tc>
      </w:tr>
      <w:tr w:rsidR="00C737AC" w:rsidRPr="00C737AC" w14:paraId="0E81C50E" w14:textId="77777777" w:rsidTr="00966C48">
        <w:tc>
          <w:tcPr>
            <w:tcW w:w="553" w:type="dxa"/>
            <w:vAlign w:val="center"/>
          </w:tcPr>
          <w:p w14:paraId="4A98E21A" w14:textId="6386E9C1" w:rsidR="00C737AC" w:rsidRPr="00C737AC" w:rsidRDefault="00C737AC" w:rsidP="00966C48">
            <w:pPr>
              <w:pStyle w:val="ListParagraph"/>
              <w:numPr>
                <w:ilvl w:val="0"/>
                <w:numId w:val="8"/>
              </w:numPr>
              <w:tabs>
                <w:tab w:val="left" w:pos="345"/>
              </w:tabs>
              <w:spacing w:before="120" w:after="120"/>
              <w:jc w:val="center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5303" w:type="dxa"/>
            <w:vAlign w:val="center"/>
          </w:tcPr>
          <w:p w14:paraId="6626D157" w14:textId="6C4B72DC" w:rsidR="00C737AC" w:rsidRPr="00C737AC" w:rsidRDefault="00C737AC" w:rsidP="00431A70">
            <w:pPr>
              <w:spacing w:before="120" w:after="120"/>
              <w:jc w:val="left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Ефективност на </w:t>
            </w:r>
            <w:r w:rsidR="00431A70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ЛСС</w:t>
            </w: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 при C/2 и пълен цикъл заряд и разряд (включва инвертор с управление, конвертори, охлаждаща система, батерии и всички допълнителни електрически консумации. Не включва трансформаторната уредба в случай на присъединяване към уредба високо/средно напрежение)</w:t>
            </w:r>
          </w:p>
        </w:tc>
        <w:tc>
          <w:tcPr>
            <w:tcW w:w="1652" w:type="dxa"/>
          </w:tcPr>
          <w:p w14:paraId="7A39E4E6" w14:textId="77777777" w:rsidR="00C737AC" w:rsidRPr="00C737AC" w:rsidRDefault="00C737AC" w:rsidP="00C737AC">
            <w:pPr>
              <w:spacing w:before="120" w:after="120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843" w:type="dxa"/>
          </w:tcPr>
          <w:p w14:paraId="1A0F33C8" w14:textId="4331B981" w:rsidR="00C737AC" w:rsidRPr="00C737AC" w:rsidRDefault="00C737AC" w:rsidP="00FC004E">
            <w:pPr>
              <w:spacing w:before="120" w:after="120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&gt;</w:t>
            </w:r>
            <w:r w:rsidR="00FC004E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8</w:t>
            </w: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0</w:t>
            </w:r>
          </w:p>
        </w:tc>
      </w:tr>
      <w:tr w:rsidR="00C737AC" w:rsidRPr="00C737AC" w14:paraId="6547AE52" w14:textId="77777777" w:rsidTr="00966C48">
        <w:tc>
          <w:tcPr>
            <w:tcW w:w="553" w:type="dxa"/>
            <w:vAlign w:val="center"/>
          </w:tcPr>
          <w:p w14:paraId="23716F66" w14:textId="49C2810E" w:rsidR="00C737AC" w:rsidRPr="00C737AC" w:rsidRDefault="00C737AC" w:rsidP="00966C48">
            <w:pPr>
              <w:pStyle w:val="ListParagraph"/>
              <w:numPr>
                <w:ilvl w:val="0"/>
                <w:numId w:val="8"/>
              </w:numPr>
              <w:tabs>
                <w:tab w:val="left" w:pos="345"/>
              </w:tabs>
              <w:spacing w:before="120" w:after="120"/>
              <w:jc w:val="center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5303" w:type="dxa"/>
            <w:vAlign w:val="center"/>
          </w:tcPr>
          <w:p w14:paraId="51CB5034" w14:textId="5A6D9B5C" w:rsidR="00C737AC" w:rsidRPr="00C737AC" w:rsidRDefault="00C737AC" w:rsidP="00431A70">
            <w:pPr>
              <w:spacing w:before="120" w:after="120"/>
              <w:jc w:val="left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Минимален използваем капацитет на батерията на </w:t>
            </w:r>
            <w:r w:rsidR="00431A70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ЛСС</w:t>
            </w:r>
          </w:p>
        </w:tc>
        <w:tc>
          <w:tcPr>
            <w:tcW w:w="1652" w:type="dxa"/>
          </w:tcPr>
          <w:p w14:paraId="7FD0C4E9" w14:textId="77777777" w:rsidR="00C737AC" w:rsidRPr="00C737AC" w:rsidRDefault="00C737AC" w:rsidP="00C737AC">
            <w:pPr>
              <w:spacing w:before="120" w:after="120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843" w:type="dxa"/>
          </w:tcPr>
          <w:p w14:paraId="071F1FAD" w14:textId="77777777" w:rsidR="00C737AC" w:rsidRPr="00C737AC" w:rsidRDefault="00C737AC" w:rsidP="00C737AC">
            <w:pPr>
              <w:spacing w:before="120" w:after="120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при заряд</w:t>
            </w:r>
          </w:p>
          <w:p w14:paraId="500EDB3B" w14:textId="3B740041" w:rsidR="00C737AC" w:rsidRPr="00C737AC" w:rsidRDefault="00C737AC" w:rsidP="00C737AC">
            <w:pPr>
              <w:spacing w:before="120" w:after="120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≥ </w:t>
            </w:r>
            <w:r w:rsidR="00FC004E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8</w:t>
            </w: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0% </w:t>
            </w:r>
          </w:p>
          <w:p w14:paraId="64FD46CA" w14:textId="77777777" w:rsidR="00C737AC" w:rsidRPr="00C737AC" w:rsidRDefault="00C737AC" w:rsidP="00C737AC">
            <w:pPr>
              <w:spacing w:before="120" w:after="120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при разряд ≤ 10%</w:t>
            </w:r>
          </w:p>
        </w:tc>
      </w:tr>
      <w:tr w:rsidR="00C737AC" w:rsidRPr="00C737AC" w14:paraId="1C71146C" w14:textId="77777777" w:rsidTr="00966C48">
        <w:tc>
          <w:tcPr>
            <w:tcW w:w="553" w:type="dxa"/>
            <w:vAlign w:val="center"/>
          </w:tcPr>
          <w:p w14:paraId="09F76E9D" w14:textId="45DDDE29" w:rsidR="00C737AC" w:rsidRPr="00C737AC" w:rsidRDefault="00C737AC" w:rsidP="00966C48">
            <w:pPr>
              <w:pStyle w:val="ListParagraph"/>
              <w:numPr>
                <w:ilvl w:val="0"/>
                <w:numId w:val="8"/>
              </w:numPr>
              <w:tabs>
                <w:tab w:val="left" w:pos="345"/>
              </w:tabs>
              <w:spacing w:before="120" w:after="120"/>
              <w:jc w:val="center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5303" w:type="dxa"/>
            <w:vAlign w:val="center"/>
          </w:tcPr>
          <w:p w14:paraId="745B22F2" w14:textId="45668054" w:rsidR="00C737AC" w:rsidRPr="00C737AC" w:rsidRDefault="00C737AC" w:rsidP="00431A70">
            <w:pPr>
              <w:spacing w:before="120" w:after="120"/>
              <w:jc w:val="left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Възможност за безпроблемна работа на </w:t>
            </w:r>
            <w:r w:rsidR="00431A70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ЛСС</w:t>
            </w: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 при външни температури, без редуциране на мощността на инверторната система</w:t>
            </w:r>
          </w:p>
        </w:tc>
        <w:tc>
          <w:tcPr>
            <w:tcW w:w="1652" w:type="dxa"/>
          </w:tcPr>
          <w:p w14:paraId="67589AAB" w14:textId="77777777" w:rsidR="00C737AC" w:rsidRPr="00C737AC" w:rsidRDefault="00C737AC" w:rsidP="00C737AC">
            <w:pPr>
              <w:spacing w:before="120" w:after="120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°C</w:t>
            </w:r>
          </w:p>
        </w:tc>
        <w:tc>
          <w:tcPr>
            <w:tcW w:w="1843" w:type="dxa"/>
          </w:tcPr>
          <w:p w14:paraId="4D327C98" w14:textId="77777777" w:rsidR="00C737AC" w:rsidRPr="00C737AC" w:rsidRDefault="00C737AC" w:rsidP="00C737AC">
            <w:pPr>
              <w:spacing w:before="120" w:after="120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≤ -25°C </w:t>
            </w:r>
          </w:p>
          <w:p w14:paraId="24E2B155" w14:textId="77777777" w:rsidR="00C737AC" w:rsidRPr="00C737AC" w:rsidRDefault="00C737AC" w:rsidP="00C737AC">
            <w:pPr>
              <w:spacing w:before="120" w:after="120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≥ +45°C</w:t>
            </w:r>
          </w:p>
        </w:tc>
      </w:tr>
      <w:tr w:rsidR="00C737AC" w:rsidRPr="00C737AC" w14:paraId="38CAD73A" w14:textId="77777777" w:rsidTr="00966C48">
        <w:tc>
          <w:tcPr>
            <w:tcW w:w="553" w:type="dxa"/>
            <w:vAlign w:val="center"/>
          </w:tcPr>
          <w:p w14:paraId="39293074" w14:textId="6BA0B032" w:rsidR="00C737AC" w:rsidRPr="00C737AC" w:rsidRDefault="00C737AC" w:rsidP="00966C48">
            <w:pPr>
              <w:pStyle w:val="ListParagraph"/>
              <w:numPr>
                <w:ilvl w:val="0"/>
                <w:numId w:val="8"/>
              </w:numPr>
              <w:tabs>
                <w:tab w:val="left" w:pos="345"/>
              </w:tabs>
              <w:spacing w:before="120" w:after="120"/>
              <w:jc w:val="center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5303" w:type="dxa"/>
            <w:vAlign w:val="center"/>
          </w:tcPr>
          <w:p w14:paraId="7C3494F9" w14:textId="7225745C" w:rsidR="00C737AC" w:rsidRPr="00C737AC" w:rsidRDefault="00C737AC" w:rsidP="00431A70">
            <w:pPr>
              <w:spacing w:before="120" w:after="120"/>
              <w:jc w:val="left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Гарантирана годишна използваемост на </w:t>
            </w:r>
            <w:r w:rsidR="00431A70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ЛСС</w:t>
            </w:r>
          </w:p>
        </w:tc>
        <w:tc>
          <w:tcPr>
            <w:tcW w:w="1652" w:type="dxa"/>
          </w:tcPr>
          <w:p w14:paraId="08441590" w14:textId="092C372E" w:rsidR="00C737AC" w:rsidRPr="00C737AC" w:rsidRDefault="00C737AC" w:rsidP="00C737AC">
            <w:pPr>
              <w:spacing w:before="120" w:after="120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Брой</w:t>
            </w: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 цикли</w:t>
            </w:r>
          </w:p>
        </w:tc>
        <w:tc>
          <w:tcPr>
            <w:tcW w:w="1843" w:type="dxa"/>
          </w:tcPr>
          <w:p w14:paraId="36FBE797" w14:textId="1793DB14" w:rsidR="00C737AC" w:rsidRPr="00C737AC" w:rsidRDefault="00C737AC" w:rsidP="00FC004E">
            <w:pPr>
              <w:spacing w:before="120" w:after="120"/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</w:pPr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≥ </w:t>
            </w:r>
            <w:r w:rsidR="00FC004E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>360</w:t>
            </w:r>
            <w:bookmarkStart w:id="0" w:name="_GoBack"/>
            <w:bookmarkEnd w:id="0"/>
            <w:r w:rsidRPr="00C737AC">
              <w:rPr>
                <w:rFonts w:ascii="Verdana" w:eastAsia="SimSun" w:hAnsi="Verdana" w:cs="Times New Roman"/>
                <w:sz w:val="20"/>
                <w:szCs w:val="20"/>
                <w:lang w:val="bg-BG" w:eastAsia="bg-BG"/>
              </w:rPr>
              <w:t xml:space="preserve"> цикъла </w:t>
            </w:r>
          </w:p>
        </w:tc>
      </w:tr>
    </w:tbl>
    <w:p w14:paraId="39019956" w14:textId="2B118BB6" w:rsidR="00C737AC" w:rsidRPr="00C737AC" w:rsidRDefault="00C737AC" w:rsidP="00C737AC">
      <w:pPr>
        <w:spacing w:before="60" w:after="6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29479EF0" w14:textId="72853311" w:rsidR="00C737AC" w:rsidRPr="00C737AC" w:rsidRDefault="00C737AC" w:rsidP="00C737AC">
      <w:pPr>
        <w:framePr w:hSpace="141" w:wrap="around" w:vAnchor="text" w:hAnchor="text" w:y="1"/>
        <w:tabs>
          <w:tab w:val="left" w:pos="1078"/>
        </w:tabs>
        <w:spacing w:line="276" w:lineRule="auto"/>
        <w:ind w:left="113" w:right="-1"/>
        <w:suppressOverlap/>
        <w:rPr>
          <w:rFonts w:ascii="Verdana" w:hAnsi="Verdana"/>
          <w:sz w:val="20"/>
          <w:szCs w:val="20"/>
          <w:lang w:eastAsia="pl-PL"/>
        </w:rPr>
      </w:pPr>
      <w:r w:rsidRPr="00C737AC">
        <w:rPr>
          <w:rFonts w:ascii="Verdana" w:hAnsi="Verdana"/>
          <w:b/>
          <w:sz w:val="20"/>
          <w:szCs w:val="20"/>
          <w:lang w:eastAsia="pl-PL"/>
        </w:rPr>
        <w:tab/>
      </w:r>
    </w:p>
    <w:p w14:paraId="5AFC22B4" w14:textId="75D557F9" w:rsidR="00BA4243" w:rsidRPr="00C737AC" w:rsidRDefault="00B03DEE" w:rsidP="00BA4243">
      <w:pPr>
        <w:spacing w:after="0" w:line="276" w:lineRule="auto"/>
        <w:jc w:val="both"/>
        <w:rPr>
          <w:rFonts w:ascii="Verdana" w:hAnsi="Verdana" w:cs="Times New Roman"/>
          <w:sz w:val="20"/>
          <w:szCs w:val="20"/>
        </w:rPr>
      </w:pPr>
      <w:r w:rsidRPr="00C737AC">
        <w:rPr>
          <w:rFonts w:ascii="Verdana" w:hAnsi="Verdana" w:cs="Times New Roman"/>
          <w:sz w:val="20"/>
          <w:szCs w:val="20"/>
        </w:rPr>
        <w:br w:type="textWrapping" w:clear="all"/>
      </w:r>
    </w:p>
    <w:p w14:paraId="493A95FC" w14:textId="77777777" w:rsidR="00C737AC" w:rsidRPr="00C737AC" w:rsidRDefault="00C737AC" w:rsidP="00C737AC">
      <w:pPr>
        <w:pStyle w:val="ListParagraph"/>
        <w:numPr>
          <w:ilvl w:val="0"/>
          <w:numId w:val="7"/>
        </w:numPr>
        <w:tabs>
          <w:tab w:val="left" w:pos="1078"/>
        </w:tabs>
        <w:spacing w:before="60" w:after="60" w:line="276" w:lineRule="auto"/>
        <w:ind w:left="113" w:right="-1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C737AC">
        <w:rPr>
          <w:rFonts w:ascii="Verdana" w:hAnsi="Verdana"/>
          <w:sz w:val="20"/>
          <w:szCs w:val="20"/>
          <w:lang w:eastAsia="pl-PL"/>
        </w:rPr>
        <w:t xml:space="preserve">Всички активи следва да бъдат нови, неупотребявани, да имат СЕ маркировка и Декларация за съответствие от производител/вносител (основание за допускане на европейския пазар). </w:t>
      </w:r>
    </w:p>
    <w:p w14:paraId="69A46F72" w14:textId="77777777" w:rsidR="00C737AC" w:rsidRPr="00C737AC" w:rsidRDefault="00C737AC" w:rsidP="00C737AC">
      <w:pPr>
        <w:pStyle w:val="ListParagraph"/>
        <w:numPr>
          <w:ilvl w:val="0"/>
          <w:numId w:val="7"/>
        </w:numPr>
        <w:tabs>
          <w:tab w:val="left" w:pos="1078"/>
        </w:tabs>
        <w:spacing w:before="60" w:after="60" w:line="276" w:lineRule="auto"/>
        <w:ind w:left="113" w:right="-1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C737AC">
        <w:rPr>
          <w:rFonts w:ascii="Verdana" w:hAnsi="Verdana"/>
          <w:sz w:val="20"/>
          <w:szCs w:val="20"/>
          <w:lang w:eastAsia="pl-PL"/>
        </w:rPr>
        <w:t>Проектът ще осигури баланс на съоръжението за съхранение (Balance of Plant) – обхващащ всички инфраструктурни компоненти и системи, необходими за функционирането на съоръжението.</w:t>
      </w:r>
    </w:p>
    <w:p w14:paraId="00FA6D2F" w14:textId="77777777" w:rsidR="00BA4243" w:rsidRPr="00C737AC" w:rsidRDefault="00BA4243" w:rsidP="00BA4243">
      <w:pPr>
        <w:spacing w:after="0" w:line="276" w:lineRule="auto"/>
        <w:jc w:val="both"/>
        <w:rPr>
          <w:rFonts w:ascii="Verdana" w:hAnsi="Verdana" w:cs="Times New Roman"/>
          <w:sz w:val="20"/>
          <w:szCs w:val="20"/>
        </w:rPr>
      </w:pPr>
    </w:p>
    <w:sectPr w:rsidR="00BA4243" w:rsidRPr="00C737A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88F99" w14:textId="77777777" w:rsidR="005D5916" w:rsidRDefault="005D5916" w:rsidP="00502EF4">
      <w:pPr>
        <w:spacing w:after="0" w:line="240" w:lineRule="auto"/>
      </w:pPr>
      <w:r>
        <w:separator/>
      </w:r>
    </w:p>
  </w:endnote>
  <w:endnote w:type="continuationSeparator" w:id="0">
    <w:p w14:paraId="24B4DE9B" w14:textId="77777777" w:rsidR="005D5916" w:rsidRDefault="005D5916" w:rsidP="00502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48763" w14:textId="77777777" w:rsidR="005D5916" w:rsidRDefault="005D5916" w:rsidP="00502EF4">
      <w:pPr>
        <w:spacing w:after="0" w:line="240" w:lineRule="auto"/>
      </w:pPr>
      <w:r>
        <w:separator/>
      </w:r>
    </w:p>
  </w:footnote>
  <w:footnote w:type="continuationSeparator" w:id="0">
    <w:p w14:paraId="17363D8B" w14:textId="77777777" w:rsidR="005D5916" w:rsidRDefault="005D5916" w:rsidP="00502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4C884" w14:textId="35171ED5" w:rsidR="00502EF4" w:rsidRDefault="00502EF4" w:rsidP="00502EF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C0289"/>
    <w:multiLevelType w:val="hybridMultilevel"/>
    <w:tmpl w:val="F9D4F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46CED"/>
    <w:multiLevelType w:val="hybridMultilevel"/>
    <w:tmpl w:val="2E1C746E"/>
    <w:lvl w:ilvl="0" w:tplc="3CB420EA">
      <w:start w:val="1"/>
      <w:numFmt w:val="decimal"/>
      <w:suff w:val="nothing"/>
      <w:lvlText w:val="%1."/>
      <w:lvlJc w:val="left"/>
      <w:pPr>
        <w:ind w:left="510" w:hanging="5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D516D"/>
    <w:multiLevelType w:val="hybridMultilevel"/>
    <w:tmpl w:val="195E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822AC"/>
    <w:multiLevelType w:val="hybridMultilevel"/>
    <w:tmpl w:val="F6DA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07B18"/>
    <w:multiLevelType w:val="hybridMultilevel"/>
    <w:tmpl w:val="38546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D4C31"/>
    <w:multiLevelType w:val="hybridMultilevel"/>
    <w:tmpl w:val="50F40D7A"/>
    <w:lvl w:ilvl="0" w:tplc="0402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5C3D5B65"/>
    <w:multiLevelType w:val="hybridMultilevel"/>
    <w:tmpl w:val="9CA4DE9E"/>
    <w:lvl w:ilvl="0" w:tplc="72FA768E">
      <w:numFmt w:val="bullet"/>
      <w:lvlText w:val="-"/>
      <w:lvlJc w:val="left"/>
      <w:pPr>
        <w:ind w:left="1080" w:hanging="360"/>
      </w:pPr>
      <w:rPr>
        <w:rFonts w:ascii="Verdana" w:eastAsiaTheme="minorHAns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B77E51"/>
    <w:multiLevelType w:val="hybridMultilevel"/>
    <w:tmpl w:val="E320C404"/>
    <w:lvl w:ilvl="0" w:tplc="5BBEE198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A9"/>
    <w:rsid w:val="000014EE"/>
    <w:rsid w:val="00020C78"/>
    <w:rsid w:val="0002449A"/>
    <w:rsid w:val="0006532D"/>
    <w:rsid w:val="00077769"/>
    <w:rsid w:val="000E6F2D"/>
    <w:rsid w:val="00113DDE"/>
    <w:rsid w:val="00155C3A"/>
    <w:rsid w:val="00174DEC"/>
    <w:rsid w:val="00216CD0"/>
    <w:rsid w:val="002A7B53"/>
    <w:rsid w:val="002B1176"/>
    <w:rsid w:val="002C6C3B"/>
    <w:rsid w:val="002D0A17"/>
    <w:rsid w:val="002E31FE"/>
    <w:rsid w:val="00320763"/>
    <w:rsid w:val="00354F37"/>
    <w:rsid w:val="00357415"/>
    <w:rsid w:val="0038147B"/>
    <w:rsid w:val="003B309B"/>
    <w:rsid w:val="003D607A"/>
    <w:rsid w:val="004137C7"/>
    <w:rsid w:val="00431A70"/>
    <w:rsid w:val="00452826"/>
    <w:rsid w:val="004835FA"/>
    <w:rsid w:val="004A5D70"/>
    <w:rsid w:val="004A61D5"/>
    <w:rsid w:val="00502EF4"/>
    <w:rsid w:val="0056162F"/>
    <w:rsid w:val="00566630"/>
    <w:rsid w:val="0057566F"/>
    <w:rsid w:val="005B5AC2"/>
    <w:rsid w:val="005C220C"/>
    <w:rsid w:val="005D5916"/>
    <w:rsid w:val="00602104"/>
    <w:rsid w:val="00643544"/>
    <w:rsid w:val="0067548F"/>
    <w:rsid w:val="006C1401"/>
    <w:rsid w:val="00730286"/>
    <w:rsid w:val="00733000"/>
    <w:rsid w:val="007546B9"/>
    <w:rsid w:val="00765764"/>
    <w:rsid w:val="00770140"/>
    <w:rsid w:val="007816EF"/>
    <w:rsid w:val="00787E15"/>
    <w:rsid w:val="00792C8E"/>
    <w:rsid w:val="007A08BF"/>
    <w:rsid w:val="00887299"/>
    <w:rsid w:val="008B6D3D"/>
    <w:rsid w:val="009075F4"/>
    <w:rsid w:val="00953F74"/>
    <w:rsid w:val="00966C48"/>
    <w:rsid w:val="00967357"/>
    <w:rsid w:val="0098769B"/>
    <w:rsid w:val="009A1BDD"/>
    <w:rsid w:val="009B5FE0"/>
    <w:rsid w:val="009D34AF"/>
    <w:rsid w:val="00A11F3B"/>
    <w:rsid w:val="00A341E4"/>
    <w:rsid w:val="00A777B7"/>
    <w:rsid w:val="00A83C2D"/>
    <w:rsid w:val="00AA6D91"/>
    <w:rsid w:val="00B00275"/>
    <w:rsid w:val="00B03DEE"/>
    <w:rsid w:val="00B06D86"/>
    <w:rsid w:val="00B25CAF"/>
    <w:rsid w:val="00B265F5"/>
    <w:rsid w:val="00B26C2A"/>
    <w:rsid w:val="00B5756F"/>
    <w:rsid w:val="00B76CA4"/>
    <w:rsid w:val="00B90268"/>
    <w:rsid w:val="00BA1A0C"/>
    <w:rsid w:val="00BA4243"/>
    <w:rsid w:val="00C123D1"/>
    <w:rsid w:val="00C20DF0"/>
    <w:rsid w:val="00C65204"/>
    <w:rsid w:val="00C737AC"/>
    <w:rsid w:val="00C82BF7"/>
    <w:rsid w:val="00CA14C6"/>
    <w:rsid w:val="00CB489C"/>
    <w:rsid w:val="00CC7369"/>
    <w:rsid w:val="00CD692F"/>
    <w:rsid w:val="00D12784"/>
    <w:rsid w:val="00D20CA9"/>
    <w:rsid w:val="00D43DF8"/>
    <w:rsid w:val="00DA22A8"/>
    <w:rsid w:val="00E277FC"/>
    <w:rsid w:val="00E47875"/>
    <w:rsid w:val="00E614D7"/>
    <w:rsid w:val="00EA39B8"/>
    <w:rsid w:val="00EE1C45"/>
    <w:rsid w:val="00F06A78"/>
    <w:rsid w:val="00F13814"/>
    <w:rsid w:val="00F42785"/>
    <w:rsid w:val="00F77F1B"/>
    <w:rsid w:val="00FA4B7A"/>
    <w:rsid w:val="00FB5CF9"/>
    <w:rsid w:val="00FC004E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503300A"/>
  <w15:chartTrackingRefBased/>
  <w15:docId w15:val="{BC29021E-78BE-4423-8F79-C78617544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2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82B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2B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2B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B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B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BF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2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EF4"/>
  </w:style>
  <w:style w:type="paragraph" w:styleId="Footer">
    <w:name w:val="footer"/>
    <w:basedOn w:val="Normal"/>
    <w:link w:val="FooterChar"/>
    <w:uiPriority w:val="99"/>
    <w:unhideWhenUsed/>
    <w:rsid w:val="00502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2EF4"/>
  </w:style>
  <w:style w:type="table" w:styleId="TableGrid">
    <w:name w:val="Table Grid"/>
    <w:basedOn w:val="TableNormal"/>
    <w:uiPriority w:val="39"/>
    <w:rsid w:val="0038147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9D34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C737AC"/>
    <w:pPr>
      <w:spacing w:after="0" w:line="240" w:lineRule="auto"/>
      <w:jc w:val="both"/>
    </w:pPr>
    <w:rPr>
      <w:rFonts w:ascii="Times New Roman" w:hAnsi="Times New Roman"/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vilieva</cp:lastModifiedBy>
  <cp:revision>4</cp:revision>
  <dcterms:created xsi:type="dcterms:W3CDTF">2023-11-27T11:29:00Z</dcterms:created>
  <dcterms:modified xsi:type="dcterms:W3CDTF">2024-02-20T09:58:00Z</dcterms:modified>
</cp:coreProperties>
</file>