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8D59" w14:textId="77777777" w:rsidR="00D303CE" w:rsidRPr="009C1F63" w:rsidRDefault="00D303CE" w:rsidP="009D50EA">
      <w:pPr>
        <w:rPr>
          <w:rFonts w:ascii="Times New Roman" w:hAnsi="Times New Roman" w:cs="Times New Roman"/>
          <w:lang w:val="en-US"/>
        </w:rPr>
      </w:pPr>
    </w:p>
    <w:p w14:paraId="4F735FA8" w14:textId="77777777" w:rsidR="0083562D" w:rsidRPr="009C1F63" w:rsidRDefault="0083562D" w:rsidP="0083562D">
      <w:pPr>
        <w:jc w:val="center"/>
        <w:rPr>
          <w:rFonts w:ascii="Times New Roman" w:hAnsi="Times New Roman" w:cs="Times New Roman"/>
        </w:rPr>
      </w:pPr>
      <w:r w:rsidRPr="009C1F63">
        <w:rPr>
          <w:rFonts w:ascii="Times New Roman" w:hAnsi="Times New Roman" w:cs="Times New Roman"/>
          <w:b/>
          <w:sz w:val="32"/>
          <w:szCs w:val="32"/>
          <w:u w:val="single"/>
        </w:rPr>
        <w:t>О Т Ч Е Т</w:t>
      </w:r>
    </w:p>
    <w:p w14:paraId="18297F15" w14:textId="77777777" w:rsidR="0083562D" w:rsidRPr="009C1F63" w:rsidRDefault="0083562D" w:rsidP="0083562D">
      <w:pPr>
        <w:jc w:val="center"/>
        <w:rPr>
          <w:rFonts w:ascii="Times New Roman" w:hAnsi="Times New Roman" w:cs="Times New Roman"/>
        </w:rPr>
      </w:pPr>
      <w:r w:rsidRPr="009C1F63">
        <w:rPr>
          <w:rFonts w:ascii="Times New Roman" w:hAnsi="Times New Roman" w:cs="Times New Roman"/>
        </w:rPr>
        <w:t>ЗА ОПТИМИЗИРАНЕ НА РАЗХОДИТЕ НА „КНЕЖА ГАЗ“ ООД ГРАД КНЕЖА,</w:t>
      </w:r>
    </w:p>
    <w:p w14:paraId="0AFD144F" w14:textId="7B80AAAB" w:rsidR="0083562D" w:rsidRPr="009C1F63" w:rsidRDefault="003F10C7" w:rsidP="0083562D">
      <w:pPr>
        <w:jc w:val="center"/>
        <w:rPr>
          <w:rFonts w:ascii="Times New Roman" w:hAnsi="Times New Roman" w:cs="Times New Roman"/>
        </w:rPr>
      </w:pPr>
      <w:r w:rsidRPr="009C1F63">
        <w:rPr>
          <w:rFonts w:ascii="Times New Roman" w:hAnsi="Times New Roman" w:cs="Times New Roman"/>
        </w:rPr>
        <w:t>ЗА 20</w:t>
      </w:r>
      <w:r w:rsidR="00C156B0">
        <w:rPr>
          <w:rFonts w:ascii="Times New Roman" w:hAnsi="Times New Roman" w:cs="Times New Roman"/>
        </w:rPr>
        <w:t>2</w:t>
      </w:r>
      <w:r w:rsidR="008C1A26">
        <w:rPr>
          <w:rFonts w:ascii="Times New Roman" w:hAnsi="Times New Roman" w:cs="Times New Roman"/>
        </w:rPr>
        <w:t>1</w:t>
      </w:r>
      <w:r w:rsidRPr="009C1F63">
        <w:rPr>
          <w:rFonts w:ascii="Times New Roman" w:hAnsi="Times New Roman" w:cs="Times New Roman"/>
        </w:rPr>
        <w:t xml:space="preserve"> </w:t>
      </w:r>
      <w:r w:rsidR="0083562D" w:rsidRPr="009C1F63">
        <w:rPr>
          <w:rFonts w:ascii="Times New Roman" w:hAnsi="Times New Roman" w:cs="Times New Roman"/>
        </w:rPr>
        <w:t>г.</w:t>
      </w:r>
    </w:p>
    <w:p w14:paraId="2A00DFB6" w14:textId="77777777" w:rsidR="0083562D" w:rsidRPr="009C1F63" w:rsidRDefault="0083562D" w:rsidP="0083562D">
      <w:pPr>
        <w:jc w:val="both"/>
        <w:rPr>
          <w:rFonts w:ascii="Times New Roman" w:hAnsi="Times New Roman" w:cs="Times New Roman"/>
        </w:rPr>
      </w:pPr>
    </w:p>
    <w:p w14:paraId="7E9307C1" w14:textId="67AB2DA0" w:rsidR="0083562D" w:rsidRPr="009C1F63" w:rsidRDefault="0083562D" w:rsidP="0083562D">
      <w:pPr>
        <w:ind w:firstLine="708"/>
        <w:jc w:val="both"/>
        <w:rPr>
          <w:rFonts w:ascii="Times New Roman" w:hAnsi="Times New Roman" w:cs="Times New Roman"/>
        </w:rPr>
      </w:pPr>
      <w:r w:rsidRPr="009C1F63">
        <w:rPr>
          <w:rFonts w:ascii="Times New Roman" w:hAnsi="Times New Roman" w:cs="Times New Roman"/>
        </w:rPr>
        <w:t xml:space="preserve">За целите на оценяване на плана за оптимизиране на разходите е използвано съпоставяне на отчетните данни през </w:t>
      </w:r>
      <w:r w:rsidR="003F10C7" w:rsidRPr="009C1F63">
        <w:rPr>
          <w:rFonts w:ascii="Times New Roman" w:hAnsi="Times New Roman" w:cs="Times New Roman"/>
        </w:rPr>
        <w:t>20</w:t>
      </w:r>
      <w:r w:rsidR="008C1A26">
        <w:rPr>
          <w:rFonts w:ascii="Times New Roman" w:hAnsi="Times New Roman" w:cs="Times New Roman"/>
        </w:rPr>
        <w:t>20</w:t>
      </w:r>
      <w:r w:rsidRPr="009C1F63">
        <w:rPr>
          <w:rFonts w:ascii="Times New Roman" w:hAnsi="Times New Roman" w:cs="Times New Roman"/>
        </w:rPr>
        <w:t xml:space="preserve"> г. с тези през 20</w:t>
      </w:r>
      <w:r w:rsidR="00C156B0">
        <w:rPr>
          <w:rFonts w:ascii="Times New Roman" w:hAnsi="Times New Roman" w:cs="Times New Roman"/>
        </w:rPr>
        <w:t>2</w:t>
      </w:r>
      <w:r w:rsidR="008C1A26">
        <w:rPr>
          <w:rFonts w:ascii="Times New Roman" w:hAnsi="Times New Roman" w:cs="Times New Roman"/>
        </w:rPr>
        <w:t>1</w:t>
      </w:r>
      <w:r w:rsidRPr="009C1F63">
        <w:rPr>
          <w:rFonts w:ascii="Times New Roman" w:hAnsi="Times New Roman" w:cs="Times New Roman"/>
        </w:rPr>
        <w:t xml:space="preserve"> г. </w:t>
      </w:r>
    </w:p>
    <w:p w14:paraId="699D719E" w14:textId="77777777" w:rsidR="0083562D" w:rsidRPr="009C1F63" w:rsidRDefault="0083562D" w:rsidP="0083562D">
      <w:pPr>
        <w:ind w:firstLine="705"/>
        <w:jc w:val="both"/>
        <w:rPr>
          <w:rFonts w:ascii="Times New Roman" w:hAnsi="Times New Roman" w:cs="Times New Roman"/>
        </w:rPr>
      </w:pPr>
      <w:r w:rsidRPr="009C1F63">
        <w:rPr>
          <w:rFonts w:ascii="Times New Roman" w:hAnsi="Times New Roman" w:cs="Times New Roman"/>
        </w:rPr>
        <w:t>Сравнявайки сумите за направените разходи и получени приходи през двата периода се вижда, че:</w:t>
      </w:r>
    </w:p>
    <w:p w14:paraId="581CBA00" w14:textId="6FD15AAD" w:rsidR="0083562D" w:rsidRPr="009C1F63" w:rsidRDefault="0083562D" w:rsidP="0083562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C1F63">
        <w:rPr>
          <w:rFonts w:ascii="Times New Roman" w:hAnsi="Times New Roman"/>
          <w:sz w:val="24"/>
          <w:szCs w:val="24"/>
        </w:rPr>
        <w:t>НЕТЕКУЩИТЕ (дълготрайни) АКТИВИ</w:t>
      </w:r>
      <w:r w:rsidR="004272EE">
        <w:rPr>
          <w:rFonts w:ascii="Times New Roman" w:hAnsi="Times New Roman"/>
          <w:sz w:val="24"/>
          <w:szCs w:val="24"/>
        </w:rPr>
        <w:t xml:space="preserve">- </w:t>
      </w:r>
      <w:r w:rsidR="008C1A26">
        <w:rPr>
          <w:rFonts w:ascii="Times New Roman" w:hAnsi="Times New Roman"/>
          <w:sz w:val="24"/>
          <w:szCs w:val="24"/>
        </w:rPr>
        <w:t>693</w:t>
      </w:r>
      <w:r w:rsidR="004272EE">
        <w:rPr>
          <w:rFonts w:ascii="Times New Roman" w:hAnsi="Times New Roman"/>
          <w:sz w:val="24"/>
          <w:szCs w:val="24"/>
        </w:rPr>
        <w:t xml:space="preserve"> хил. лв. за 202</w:t>
      </w:r>
      <w:r w:rsidR="008C1A26">
        <w:rPr>
          <w:rFonts w:ascii="Times New Roman" w:hAnsi="Times New Roman"/>
          <w:sz w:val="24"/>
          <w:szCs w:val="24"/>
        </w:rPr>
        <w:t>1</w:t>
      </w:r>
      <w:r w:rsidR="004272EE">
        <w:rPr>
          <w:rFonts w:ascii="Times New Roman" w:hAnsi="Times New Roman"/>
          <w:sz w:val="24"/>
          <w:szCs w:val="24"/>
        </w:rPr>
        <w:t xml:space="preserve">, спрямо </w:t>
      </w:r>
      <w:r w:rsidR="008C1A26">
        <w:rPr>
          <w:rFonts w:ascii="Times New Roman" w:hAnsi="Times New Roman"/>
          <w:sz w:val="24"/>
          <w:szCs w:val="24"/>
        </w:rPr>
        <w:t>596</w:t>
      </w:r>
      <w:r w:rsidR="004272EE">
        <w:rPr>
          <w:rFonts w:ascii="Times New Roman" w:hAnsi="Times New Roman"/>
          <w:sz w:val="24"/>
          <w:szCs w:val="24"/>
        </w:rPr>
        <w:t xml:space="preserve"> хил. лв. за 20</w:t>
      </w:r>
      <w:r w:rsidR="008C1A26">
        <w:rPr>
          <w:rFonts w:ascii="Times New Roman" w:hAnsi="Times New Roman"/>
          <w:sz w:val="24"/>
          <w:szCs w:val="24"/>
        </w:rPr>
        <w:t>20</w:t>
      </w:r>
      <w:r w:rsidR="004272EE">
        <w:rPr>
          <w:rFonts w:ascii="Times New Roman" w:hAnsi="Times New Roman"/>
          <w:sz w:val="24"/>
          <w:szCs w:val="24"/>
        </w:rPr>
        <w:t>, в т.ч.</w:t>
      </w:r>
      <w:r w:rsidRPr="009C1F63">
        <w:rPr>
          <w:rFonts w:ascii="Times New Roman" w:hAnsi="Times New Roman"/>
          <w:sz w:val="24"/>
          <w:szCs w:val="24"/>
        </w:rPr>
        <w:t>:</w:t>
      </w:r>
      <w:r w:rsidR="004272EE">
        <w:rPr>
          <w:rFonts w:ascii="Times New Roman" w:hAnsi="Times New Roman"/>
          <w:sz w:val="24"/>
          <w:szCs w:val="24"/>
        </w:rPr>
        <w:t xml:space="preserve"> </w:t>
      </w:r>
    </w:p>
    <w:p w14:paraId="611878A6" w14:textId="7541742F" w:rsidR="0083562D" w:rsidRPr="009C1F63" w:rsidRDefault="0083562D" w:rsidP="0083562D">
      <w:pPr>
        <w:pStyle w:val="ListParagraph"/>
        <w:ind w:left="1065"/>
        <w:jc w:val="both"/>
        <w:rPr>
          <w:rFonts w:ascii="Times New Roman" w:hAnsi="Times New Roman"/>
          <w:sz w:val="24"/>
          <w:szCs w:val="24"/>
        </w:rPr>
      </w:pPr>
      <w:r w:rsidRPr="009C1F63">
        <w:rPr>
          <w:rFonts w:ascii="Times New Roman" w:hAnsi="Times New Roman"/>
          <w:sz w:val="24"/>
          <w:szCs w:val="24"/>
        </w:rPr>
        <w:t>-Машини, производствено оборудване и апаратура са с</w:t>
      </w:r>
      <w:r w:rsidR="00C156B0">
        <w:rPr>
          <w:rFonts w:ascii="Times New Roman" w:hAnsi="Times New Roman"/>
          <w:sz w:val="24"/>
          <w:szCs w:val="24"/>
        </w:rPr>
        <w:t xml:space="preserve">е увеличили </w:t>
      </w:r>
      <w:r w:rsidRPr="009C1F63">
        <w:rPr>
          <w:rFonts w:ascii="Times New Roman" w:hAnsi="Times New Roman"/>
          <w:sz w:val="24"/>
          <w:szCs w:val="24"/>
        </w:rPr>
        <w:t xml:space="preserve">с </w:t>
      </w:r>
      <w:r w:rsidR="008C1A26">
        <w:rPr>
          <w:rFonts w:ascii="Times New Roman" w:hAnsi="Times New Roman"/>
          <w:sz w:val="24"/>
          <w:szCs w:val="24"/>
        </w:rPr>
        <w:t>29</w:t>
      </w:r>
      <w:r w:rsidRPr="009C1F63">
        <w:rPr>
          <w:rFonts w:ascii="Times New Roman" w:hAnsi="Times New Roman"/>
          <w:sz w:val="24"/>
          <w:szCs w:val="24"/>
        </w:rPr>
        <w:t xml:space="preserve"> хил. лв., </w:t>
      </w:r>
    </w:p>
    <w:p w14:paraId="02D972AB" w14:textId="55BF79F1" w:rsidR="0083562D" w:rsidRPr="009C1F63" w:rsidRDefault="0083562D" w:rsidP="0083562D">
      <w:pPr>
        <w:pStyle w:val="ListParagraph"/>
        <w:ind w:left="1065"/>
        <w:jc w:val="both"/>
        <w:rPr>
          <w:rFonts w:ascii="Times New Roman" w:hAnsi="Times New Roman"/>
          <w:sz w:val="24"/>
          <w:szCs w:val="24"/>
        </w:rPr>
      </w:pPr>
      <w:r w:rsidRPr="009C1F63">
        <w:rPr>
          <w:rFonts w:ascii="Times New Roman" w:hAnsi="Times New Roman"/>
          <w:sz w:val="24"/>
          <w:szCs w:val="24"/>
        </w:rPr>
        <w:t xml:space="preserve">-Съоръжения са </w:t>
      </w:r>
      <w:r w:rsidR="00C156B0">
        <w:rPr>
          <w:rFonts w:ascii="Times New Roman" w:hAnsi="Times New Roman"/>
          <w:sz w:val="24"/>
          <w:szCs w:val="24"/>
        </w:rPr>
        <w:t xml:space="preserve">намалели </w:t>
      </w:r>
      <w:r w:rsidRPr="009C1F63">
        <w:rPr>
          <w:rFonts w:ascii="Times New Roman" w:hAnsi="Times New Roman"/>
          <w:sz w:val="24"/>
          <w:szCs w:val="24"/>
        </w:rPr>
        <w:t xml:space="preserve">с </w:t>
      </w:r>
      <w:r w:rsidR="008C1A26">
        <w:rPr>
          <w:rFonts w:ascii="Times New Roman" w:hAnsi="Times New Roman"/>
          <w:sz w:val="24"/>
          <w:szCs w:val="24"/>
        </w:rPr>
        <w:t>1</w:t>
      </w:r>
      <w:r w:rsidRPr="009C1F63">
        <w:rPr>
          <w:rFonts w:ascii="Times New Roman" w:hAnsi="Times New Roman"/>
          <w:sz w:val="24"/>
          <w:szCs w:val="24"/>
        </w:rPr>
        <w:t xml:space="preserve"> хил. лв., </w:t>
      </w:r>
    </w:p>
    <w:p w14:paraId="6B10AEFC" w14:textId="108C4405" w:rsidR="0083562D" w:rsidRPr="00216AEC" w:rsidRDefault="0083562D" w:rsidP="0083562D">
      <w:pPr>
        <w:pStyle w:val="ListParagraph"/>
        <w:ind w:left="1065"/>
        <w:jc w:val="both"/>
        <w:rPr>
          <w:rFonts w:ascii="Times New Roman" w:hAnsi="Times New Roman"/>
          <w:sz w:val="24"/>
          <w:szCs w:val="24"/>
        </w:rPr>
      </w:pPr>
      <w:r w:rsidRPr="00216AEC">
        <w:rPr>
          <w:rFonts w:ascii="Times New Roman" w:hAnsi="Times New Roman"/>
          <w:sz w:val="24"/>
          <w:szCs w:val="24"/>
        </w:rPr>
        <w:t xml:space="preserve">-ДМА в процес на изграждане </w:t>
      </w:r>
      <w:r w:rsidR="00C156B0" w:rsidRPr="00216AEC">
        <w:rPr>
          <w:rFonts w:ascii="Times New Roman" w:hAnsi="Times New Roman"/>
          <w:sz w:val="24"/>
          <w:szCs w:val="24"/>
        </w:rPr>
        <w:t xml:space="preserve">са </w:t>
      </w:r>
      <w:r w:rsidR="008C1A26">
        <w:rPr>
          <w:rFonts w:ascii="Times New Roman" w:hAnsi="Times New Roman"/>
          <w:sz w:val="24"/>
          <w:szCs w:val="24"/>
        </w:rPr>
        <w:t xml:space="preserve">се увеличили на 44  </w:t>
      </w:r>
      <w:r w:rsidR="00C156B0" w:rsidRPr="00216AEC">
        <w:rPr>
          <w:rFonts w:ascii="Times New Roman" w:hAnsi="Times New Roman"/>
          <w:sz w:val="24"/>
          <w:szCs w:val="24"/>
        </w:rPr>
        <w:t>в</w:t>
      </w:r>
      <w:r w:rsidRPr="00216AEC">
        <w:rPr>
          <w:rFonts w:ascii="Times New Roman" w:hAnsi="Times New Roman"/>
          <w:sz w:val="24"/>
          <w:szCs w:val="24"/>
        </w:rPr>
        <w:t xml:space="preserve"> сравнение с предходната година.</w:t>
      </w:r>
    </w:p>
    <w:p w14:paraId="7A15E179" w14:textId="302D5EF0" w:rsidR="0083562D" w:rsidRPr="00216AEC" w:rsidRDefault="0083562D" w:rsidP="0083562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16AEC">
        <w:rPr>
          <w:rFonts w:ascii="Times New Roman" w:hAnsi="Times New Roman"/>
          <w:sz w:val="24"/>
          <w:szCs w:val="24"/>
        </w:rPr>
        <w:t xml:space="preserve">ТЕКУЩИ (краткотрайни) АКТИВИ </w:t>
      </w:r>
      <w:r w:rsidR="004272EE" w:rsidRPr="00216AEC">
        <w:rPr>
          <w:rFonts w:ascii="Times New Roman" w:hAnsi="Times New Roman"/>
          <w:sz w:val="24"/>
          <w:szCs w:val="24"/>
        </w:rPr>
        <w:t xml:space="preserve">– </w:t>
      </w:r>
      <w:r w:rsidR="008C1A26">
        <w:rPr>
          <w:rFonts w:ascii="Times New Roman" w:hAnsi="Times New Roman"/>
          <w:sz w:val="24"/>
          <w:szCs w:val="24"/>
        </w:rPr>
        <w:t>305</w:t>
      </w:r>
      <w:r w:rsidR="004272EE" w:rsidRPr="00216AEC">
        <w:rPr>
          <w:rFonts w:ascii="Times New Roman" w:hAnsi="Times New Roman"/>
          <w:sz w:val="24"/>
          <w:szCs w:val="24"/>
        </w:rPr>
        <w:t xml:space="preserve"> хил. лв., спрямо</w:t>
      </w:r>
      <w:r w:rsidR="008C1A26">
        <w:rPr>
          <w:rFonts w:ascii="Times New Roman" w:hAnsi="Times New Roman"/>
          <w:sz w:val="24"/>
          <w:szCs w:val="24"/>
        </w:rPr>
        <w:t xml:space="preserve"> 147 хил. </w:t>
      </w:r>
      <w:proofErr w:type="spellStart"/>
      <w:r w:rsidR="008C1A26">
        <w:rPr>
          <w:rFonts w:ascii="Times New Roman" w:hAnsi="Times New Roman"/>
          <w:sz w:val="24"/>
          <w:szCs w:val="24"/>
        </w:rPr>
        <w:t>лв</w:t>
      </w:r>
      <w:proofErr w:type="spellEnd"/>
      <w:r w:rsidR="008C1A26">
        <w:rPr>
          <w:rFonts w:ascii="Times New Roman" w:hAnsi="Times New Roman"/>
          <w:sz w:val="24"/>
          <w:szCs w:val="24"/>
        </w:rPr>
        <w:t xml:space="preserve"> за</w:t>
      </w:r>
      <w:r w:rsidR="004272EE" w:rsidRPr="00216AEC">
        <w:rPr>
          <w:rFonts w:ascii="Times New Roman" w:hAnsi="Times New Roman"/>
          <w:sz w:val="24"/>
          <w:szCs w:val="24"/>
        </w:rPr>
        <w:t xml:space="preserve"> 20</w:t>
      </w:r>
      <w:r w:rsidR="008C1A26">
        <w:rPr>
          <w:rFonts w:ascii="Times New Roman" w:hAnsi="Times New Roman"/>
          <w:sz w:val="24"/>
          <w:szCs w:val="24"/>
        </w:rPr>
        <w:t>20</w:t>
      </w:r>
      <w:r w:rsidR="004272EE" w:rsidRPr="00216AEC">
        <w:rPr>
          <w:rFonts w:ascii="Times New Roman" w:hAnsi="Times New Roman"/>
          <w:sz w:val="24"/>
          <w:szCs w:val="24"/>
        </w:rPr>
        <w:t>г.</w:t>
      </w:r>
    </w:p>
    <w:p w14:paraId="410D7356" w14:textId="717058C7" w:rsidR="004272EE" w:rsidRPr="00216AEC" w:rsidRDefault="004272EE" w:rsidP="0083562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16AEC">
        <w:rPr>
          <w:rFonts w:ascii="Times New Roman" w:hAnsi="Times New Roman"/>
          <w:sz w:val="24"/>
          <w:szCs w:val="24"/>
        </w:rPr>
        <w:t xml:space="preserve">СОБСТВЕН КАПИТАЛ на дружеството е увеличен на </w:t>
      </w:r>
      <w:r w:rsidR="008C1A26">
        <w:rPr>
          <w:rFonts w:ascii="Times New Roman" w:hAnsi="Times New Roman"/>
          <w:sz w:val="24"/>
          <w:szCs w:val="24"/>
        </w:rPr>
        <w:t>674</w:t>
      </w:r>
      <w:r w:rsidRPr="00216AEC">
        <w:rPr>
          <w:rFonts w:ascii="Times New Roman" w:hAnsi="Times New Roman"/>
          <w:sz w:val="24"/>
          <w:szCs w:val="24"/>
        </w:rPr>
        <w:t xml:space="preserve"> хил. лв. за 202</w:t>
      </w:r>
      <w:r w:rsidR="008C1A26">
        <w:rPr>
          <w:rFonts w:ascii="Times New Roman" w:hAnsi="Times New Roman"/>
          <w:sz w:val="24"/>
          <w:szCs w:val="24"/>
        </w:rPr>
        <w:t>1</w:t>
      </w:r>
      <w:r w:rsidRPr="00216AEC">
        <w:rPr>
          <w:rFonts w:ascii="Times New Roman" w:hAnsi="Times New Roman"/>
          <w:sz w:val="24"/>
          <w:szCs w:val="24"/>
        </w:rPr>
        <w:t xml:space="preserve">, спрямо </w:t>
      </w:r>
      <w:r w:rsidR="008C1A26">
        <w:rPr>
          <w:rFonts w:ascii="Times New Roman" w:hAnsi="Times New Roman"/>
          <w:sz w:val="24"/>
          <w:szCs w:val="24"/>
        </w:rPr>
        <w:t>639</w:t>
      </w:r>
      <w:r w:rsidRPr="00216AEC">
        <w:rPr>
          <w:rFonts w:ascii="Times New Roman" w:hAnsi="Times New Roman"/>
          <w:sz w:val="24"/>
          <w:szCs w:val="24"/>
        </w:rPr>
        <w:t xml:space="preserve"> хил. за 20</w:t>
      </w:r>
      <w:r w:rsidR="008C1A26">
        <w:rPr>
          <w:rFonts w:ascii="Times New Roman" w:hAnsi="Times New Roman"/>
          <w:sz w:val="24"/>
          <w:szCs w:val="24"/>
        </w:rPr>
        <w:t>20</w:t>
      </w:r>
      <w:r w:rsidRPr="00216AEC">
        <w:rPr>
          <w:rFonts w:ascii="Times New Roman" w:hAnsi="Times New Roman"/>
          <w:sz w:val="24"/>
          <w:szCs w:val="24"/>
        </w:rPr>
        <w:t>, в т.ч.:</w:t>
      </w:r>
    </w:p>
    <w:p w14:paraId="730CD86B" w14:textId="0D711E11" w:rsidR="0083562D" w:rsidRPr="00216AEC" w:rsidRDefault="004272EE" w:rsidP="004272EE">
      <w:pPr>
        <w:pStyle w:val="ListParagraph"/>
        <w:ind w:left="1065"/>
        <w:jc w:val="both"/>
        <w:rPr>
          <w:rFonts w:ascii="Times New Roman" w:hAnsi="Times New Roman"/>
          <w:sz w:val="24"/>
          <w:szCs w:val="24"/>
        </w:rPr>
      </w:pPr>
      <w:r w:rsidRPr="00216AEC">
        <w:rPr>
          <w:rFonts w:ascii="Times New Roman" w:hAnsi="Times New Roman"/>
          <w:sz w:val="24"/>
          <w:szCs w:val="24"/>
        </w:rPr>
        <w:t>-</w:t>
      </w:r>
      <w:r w:rsidR="0083562D" w:rsidRPr="00216AEC">
        <w:rPr>
          <w:rFonts w:ascii="Times New Roman" w:hAnsi="Times New Roman"/>
          <w:sz w:val="24"/>
          <w:szCs w:val="24"/>
        </w:rPr>
        <w:t xml:space="preserve">Вземанията от клиенти са с </w:t>
      </w:r>
      <w:r w:rsidR="00ED15A6">
        <w:rPr>
          <w:rFonts w:ascii="Times New Roman" w:hAnsi="Times New Roman"/>
          <w:sz w:val="24"/>
          <w:szCs w:val="24"/>
        </w:rPr>
        <w:t>192</w:t>
      </w:r>
      <w:r w:rsidR="0083562D" w:rsidRPr="00216AEC">
        <w:rPr>
          <w:rFonts w:ascii="Times New Roman" w:hAnsi="Times New Roman"/>
          <w:sz w:val="24"/>
          <w:szCs w:val="24"/>
        </w:rPr>
        <w:t xml:space="preserve"> хил. лв.</w:t>
      </w:r>
      <w:r w:rsidRPr="00216AEC">
        <w:rPr>
          <w:rFonts w:ascii="Times New Roman" w:hAnsi="Times New Roman"/>
          <w:sz w:val="24"/>
          <w:szCs w:val="24"/>
        </w:rPr>
        <w:t xml:space="preserve"> по</w:t>
      </w:r>
      <w:r w:rsidR="00ED15A6">
        <w:rPr>
          <w:rFonts w:ascii="Times New Roman" w:hAnsi="Times New Roman"/>
          <w:sz w:val="24"/>
          <w:szCs w:val="24"/>
        </w:rPr>
        <w:t>вече</w:t>
      </w:r>
      <w:r w:rsidRPr="00216AEC">
        <w:rPr>
          <w:rFonts w:ascii="Times New Roman" w:hAnsi="Times New Roman"/>
          <w:sz w:val="24"/>
          <w:szCs w:val="24"/>
        </w:rPr>
        <w:t xml:space="preserve"> спрямо 20</w:t>
      </w:r>
      <w:r w:rsidR="00ED15A6">
        <w:rPr>
          <w:rFonts w:ascii="Times New Roman" w:hAnsi="Times New Roman"/>
          <w:sz w:val="24"/>
          <w:szCs w:val="24"/>
        </w:rPr>
        <w:t>20</w:t>
      </w:r>
      <w:r w:rsidRPr="00216AEC">
        <w:rPr>
          <w:rFonts w:ascii="Times New Roman" w:hAnsi="Times New Roman"/>
          <w:sz w:val="24"/>
          <w:szCs w:val="24"/>
        </w:rPr>
        <w:t xml:space="preserve"> и са в размер на </w:t>
      </w:r>
      <w:r w:rsidR="00ED15A6">
        <w:rPr>
          <w:rFonts w:ascii="Times New Roman" w:hAnsi="Times New Roman"/>
          <w:sz w:val="24"/>
          <w:szCs w:val="24"/>
        </w:rPr>
        <w:t>276</w:t>
      </w:r>
      <w:r w:rsidRPr="00216AEC">
        <w:rPr>
          <w:rFonts w:ascii="Times New Roman" w:hAnsi="Times New Roman"/>
          <w:sz w:val="24"/>
          <w:szCs w:val="24"/>
        </w:rPr>
        <w:t xml:space="preserve"> хил. лв., като всички от тях са текущи.</w:t>
      </w:r>
    </w:p>
    <w:p w14:paraId="581586C7" w14:textId="3CBA4645" w:rsidR="004272EE" w:rsidRPr="00216AEC" w:rsidRDefault="004272EE" w:rsidP="004272EE">
      <w:pPr>
        <w:pStyle w:val="ListParagraph"/>
        <w:ind w:left="1065"/>
        <w:jc w:val="both"/>
        <w:rPr>
          <w:rFonts w:ascii="Times New Roman" w:hAnsi="Times New Roman"/>
          <w:sz w:val="24"/>
          <w:szCs w:val="24"/>
        </w:rPr>
      </w:pPr>
      <w:r w:rsidRPr="00216AEC">
        <w:rPr>
          <w:rFonts w:ascii="Times New Roman" w:hAnsi="Times New Roman"/>
          <w:sz w:val="24"/>
          <w:szCs w:val="24"/>
        </w:rPr>
        <w:t>-</w:t>
      </w:r>
      <w:r w:rsidR="0083562D" w:rsidRPr="00216AEC">
        <w:rPr>
          <w:rFonts w:ascii="Times New Roman" w:hAnsi="Times New Roman"/>
          <w:sz w:val="24"/>
          <w:szCs w:val="24"/>
        </w:rPr>
        <w:t xml:space="preserve">Задълженията към доставчици са </w:t>
      </w:r>
      <w:r w:rsidR="00ED15A6">
        <w:rPr>
          <w:rFonts w:ascii="Times New Roman" w:hAnsi="Times New Roman"/>
          <w:sz w:val="24"/>
          <w:szCs w:val="24"/>
        </w:rPr>
        <w:t>увеличени</w:t>
      </w:r>
      <w:r w:rsidR="0083562D" w:rsidRPr="00216AEC">
        <w:rPr>
          <w:rFonts w:ascii="Times New Roman" w:hAnsi="Times New Roman"/>
          <w:sz w:val="24"/>
          <w:szCs w:val="24"/>
        </w:rPr>
        <w:t xml:space="preserve"> с </w:t>
      </w:r>
      <w:r w:rsidR="00ED15A6">
        <w:rPr>
          <w:rFonts w:ascii="Times New Roman" w:hAnsi="Times New Roman"/>
          <w:sz w:val="24"/>
          <w:szCs w:val="24"/>
        </w:rPr>
        <w:t>180</w:t>
      </w:r>
      <w:r w:rsidR="0083562D" w:rsidRPr="00216AEC">
        <w:rPr>
          <w:rFonts w:ascii="Times New Roman" w:hAnsi="Times New Roman"/>
          <w:sz w:val="24"/>
          <w:szCs w:val="24"/>
        </w:rPr>
        <w:t xml:space="preserve"> хил. лв.</w:t>
      </w:r>
      <w:r w:rsidRPr="00216AEC">
        <w:rPr>
          <w:rFonts w:ascii="Times New Roman" w:hAnsi="Times New Roman"/>
          <w:sz w:val="24"/>
          <w:szCs w:val="24"/>
        </w:rPr>
        <w:t xml:space="preserve"> спрямо 2</w:t>
      </w:r>
      <w:r w:rsidR="00ED15A6">
        <w:rPr>
          <w:rFonts w:ascii="Times New Roman" w:hAnsi="Times New Roman"/>
          <w:sz w:val="24"/>
          <w:szCs w:val="24"/>
        </w:rPr>
        <w:t>020</w:t>
      </w:r>
      <w:r w:rsidRPr="00216AEC">
        <w:rPr>
          <w:rFonts w:ascii="Times New Roman" w:hAnsi="Times New Roman"/>
          <w:sz w:val="24"/>
          <w:szCs w:val="24"/>
        </w:rPr>
        <w:t xml:space="preserve"> и са в размер на </w:t>
      </w:r>
      <w:r w:rsidR="00ED15A6">
        <w:rPr>
          <w:rFonts w:ascii="Times New Roman" w:hAnsi="Times New Roman"/>
          <w:sz w:val="24"/>
          <w:szCs w:val="24"/>
        </w:rPr>
        <w:t>278</w:t>
      </w:r>
      <w:r w:rsidRPr="00216AEC">
        <w:rPr>
          <w:rFonts w:ascii="Times New Roman" w:hAnsi="Times New Roman"/>
          <w:sz w:val="24"/>
          <w:szCs w:val="24"/>
        </w:rPr>
        <w:t xml:space="preserve"> хил. лв.</w:t>
      </w:r>
    </w:p>
    <w:p w14:paraId="3AFB7909" w14:textId="032860C8" w:rsidR="0083562D" w:rsidRPr="00216AEC" w:rsidRDefault="0089696F" w:rsidP="00232DB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Увеличили</w:t>
      </w:r>
      <w:r w:rsidR="0083562D" w:rsidRPr="00216AEC">
        <w:rPr>
          <w:rFonts w:ascii="Times New Roman" w:hAnsi="Times New Roman"/>
        </w:rPr>
        <w:t xml:space="preserve"> са приходите на дружеството от продажба на природен газ. В това число от продажба на стоки с </w:t>
      </w:r>
      <w:r>
        <w:rPr>
          <w:rFonts w:ascii="Times New Roman" w:hAnsi="Times New Roman"/>
        </w:rPr>
        <w:t>538</w:t>
      </w:r>
      <w:r w:rsidR="0083562D" w:rsidRPr="00216AEC">
        <w:rPr>
          <w:rFonts w:ascii="Times New Roman" w:hAnsi="Times New Roman"/>
        </w:rPr>
        <w:t xml:space="preserve"> хил. лв.</w:t>
      </w:r>
      <w:r w:rsidR="004272EE" w:rsidRPr="00216AEC">
        <w:rPr>
          <w:rFonts w:ascii="Times New Roman" w:hAnsi="Times New Roman"/>
        </w:rPr>
        <w:t xml:space="preserve">, което се дължи на значително </w:t>
      </w:r>
      <w:r>
        <w:rPr>
          <w:rFonts w:ascii="Times New Roman" w:hAnsi="Times New Roman"/>
        </w:rPr>
        <w:t>поскъпване</w:t>
      </w:r>
      <w:r w:rsidR="004272EE" w:rsidRPr="00216AEC">
        <w:rPr>
          <w:rFonts w:ascii="Times New Roman" w:hAnsi="Times New Roman"/>
        </w:rPr>
        <w:t xml:space="preserve"> на природния газ за.</w:t>
      </w:r>
    </w:p>
    <w:p w14:paraId="5C5F148D" w14:textId="559A6AF3" w:rsidR="0083562D" w:rsidRPr="00216AEC" w:rsidRDefault="0083562D" w:rsidP="0083562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16AEC">
        <w:rPr>
          <w:rFonts w:ascii="Times New Roman" w:hAnsi="Times New Roman"/>
          <w:sz w:val="24"/>
          <w:szCs w:val="24"/>
        </w:rPr>
        <w:t xml:space="preserve">Разходите за закупуване на природен газ са </w:t>
      </w:r>
      <w:r w:rsidR="0089696F">
        <w:rPr>
          <w:rFonts w:ascii="Times New Roman" w:hAnsi="Times New Roman"/>
          <w:sz w:val="24"/>
          <w:szCs w:val="24"/>
        </w:rPr>
        <w:t xml:space="preserve">се увеличили </w:t>
      </w:r>
      <w:r w:rsidRPr="00216AEC">
        <w:rPr>
          <w:rFonts w:ascii="Times New Roman" w:hAnsi="Times New Roman"/>
          <w:sz w:val="24"/>
          <w:szCs w:val="24"/>
        </w:rPr>
        <w:t xml:space="preserve"> с </w:t>
      </w:r>
      <w:r w:rsidR="0089696F">
        <w:rPr>
          <w:rFonts w:ascii="Times New Roman" w:hAnsi="Times New Roman"/>
          <w:sz w:val="24"/>
          <w:szCs w:val="24"/>
        </w:rPr>
        <w:t>493</w:t>
      </w:r>
      <w:r w:rsidRPr="00216AEC">
        <w:rPr>
          <w:rFonts w:ascii="Times New Roman" w:hAnsi="Times New Roman"/>
          <w:sz w:val="24"/>
          <w:szCs w:val="24"/>
        </w:rPr>
        <w:t xml:space="preserve"> хил. лв.</w:t>
      </w:r>
      <w:r w:rsidR="00F60884" w:rsidRPr="00216AEC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F60884" w:rsidRPr="00216AEC">
        <w:rPr>
          <w:rFonts w:ascii="Times New Roman" w:hAnsi="Times New Roman"/>
          <w:sz w:val="24"/>
          <w:szCs w:val="24"/>
        </w:rPr>
        <w:t xml:space="preserve">поради </w:t>
      </w:r>
      <w:r w:rsidR="0089696F">
        <w:rPr>
          <w:rFonts w:ascii="Times New Roman" w:hAnsi="Times New Roman"/>
          <w:sz w:val="24"/>
          <w:szCs w:val="24"/>
        </w:rPr>
        <w:t>увеличението</w:t>
      </w:r>
      <w:r w:rsidR="00F60884" w:rsidRPr="00216AEC">
        <w:rPr>
          <w:rFonts w:ascii="Times New Roman" w:hAnsi="Times New Roman"/>
          <w:sz w:val="24"/>
          <w:szCs w:val="24"/>
        </w:rPr>
        <w:t xml:space="preserve"> в цената на природния газ</w:t>
      </w:r>
    </w:p>
    <w:p w14:paraId="46A44D99" w14:textId="6E34DA53" w:rsidR="0083562D" w:rsidRPr="00216AEC" w:rsidRDefault="0083562D" w:rsidP="0083562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16AEC">
        <w:rPr>
          <w:rFonts w:ascii="Times New Roman" w:hAnsi="Times New Roman"/>
          <w:sz w:val="24"/>
          <w:szCs w:val="24"/>
        </w:rPr>
        <w:t xml:space="preserve">Разходите за амортизация на дълготрайни материални активи са </w:t>
      </w:r>
      <w:r w:rsidR="0089696F">
        <w:rPr>
          <w:rFonts w:ascii="Times New Roman" w:hAnsi="Times New Roman"/>
          <w:sz w:val="24"/>
          <w:szCs w:val="24"/>
        </w:rPr>
        <w:t>запазили стойностите си от 2020г.</w:t>
      </w:r>
    </w:p>
    <w:p w14:paraId="2841C166" w14:textId="761AAB5A" w:rsidR="0083562D" w:rsidRPr="00216AEC" w:rsidRDefault="00423F87" w:rsidP="0083562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16AEC">
        <w:rPr>
          <w:rFonts w:ascii="Times New Roman" w:hAnsi="Times New Roman"/>
          <w:sz w:val="24"/>
          <w:szCs w:val="24"/>
        </w:rPr>
        <w:t>За 202</w:t>
      </w:r>
      <w:r w:rsidR="0089696F">
        <w:rPr>
          <w:rFonts w:ascii="Times New Roman" w:hAnsi="Times New Roman"/>
          <w:sz w:val="24"/>
          <w:szCs w:val="24"/>
        </w:rPr>
        <w:t>1</w:t>
      </w:r>
      <w:r w:rsidRPr="00216AEC">
        <w:rPr>
          <w:rFonts w:ascii="Times New Roman" w:hAnsi="Times New Roman"/>
          <w:sz w:val="24"/>
          <w:szCs w:val="24"/>
        </w:rPr>
        <w:t>г. дружеството</w:t>
      </w:r>
      <w:r w:rsidR="001975AB" w:rsidRPr="00216AEC">
        <w:rPr>
          <w:rFonts w:ascii="Times New Roman" w:hAnsi="Times New Roman"/>
          <w:sz w:val="24"/>
          <w:szCs w:val="24"/>
        </w:rPr>
        <w:t xml:space="preserve"> отчита печалба в размер на </w:t>
      </w:r>
      <w:r w:rsidRPr="00216AEC">
        <w:rPr>
          <w:rFonts w:ascii="Times New Roman" w:hAnsi="Times New Roman"/>
          <w:sz w:val="24"/>
          <w:szCs w:val="24"/>
        </w:rPr>
        <w:t>3</w:t>
      </w:r>
      <w:r w:rsidR="0089696F">
        <w:rPr>
          <w:rFonts w:ascii="Times New Roman" w:hAnsi="Times New Roman"/>
          <w:sz w:val="24"/>
          <w:szCs w:val="24"/>
        </w:rPr>
        <w:t>4</w:t>
      </w:r>
      <w:r w:rsidR="001975AB" w:rsidRPr="00216AEC">
        <w:rPr>
          <w:rFonts w:ascii="Times New Roman" w:hAnsi="Times New Roman"/>
          <w:sz w:val="24"/>
          <w:szCs w:val="24"/>
        </w:rPr>
        <w:t xml:space="preserve"> хил. лв. в сравнение с</w:t>
      </w:r>
      <w:r w:rsidR="0083562D" w:rsidRPr="00216AEC">
        <w:rPr>
          <w:rFonts w:ascii="Times New Roman" w:hAnsi="Times New Roman"/>
          <w:sz w:val="24"/>
          <w:szCs w:val="24"/>
        </w:rPr>
        <w:t xml:space="preserve"> </w:t>
      </w:r>
      <w:r w:rsidR="001975AB" w:rsidRPr="00216AEC">
        <w:rPr>
          <w:rFonts w:ascii="Times New Roman" w:hAnsi="Times New Roman"/>
          <w:sz w:val="24"/>
          <w:szCs w:val="24"/>
        </w:rPr>
        <w:t xml:space="preserve">печалба </w:t>
      </w:r>
      <w:r w:rsidR="0083562D" w:rsidRPr="00216AEC">
        <w:rPr>
          <w:rFonts w:ascii="Times New Roman" w:hAnsi="Times New Roman"/>
          <w:sz w:val="24"/>
          <w:szCs w:val="24"/>
        </w:rPr>
        <w:t xml:space="preserve">от </w:t>
      </w:r>
      <w:r w:rsidR="0089696F">
        <w:rPr>
          <w:rFonts w:ascii="Times New Roman" w:hAnsi="Times New Roman"/>
          <w:sz w:val="24"/>
          <w:szCs w:val="24"/>
        </w:rPr>
        <w:t>36</w:t>
      </w:r>
      <w:r w:rsidR="001975AB" w:rsidRPr="00216AEC">
        <w:rPr>
          <w:rFonts w:ascii="Times New Roman" w:hAnsi="Times New Roman"/>
          <w:sz w:val="24"/>
          <w:szCs w:val="24"/>
        </w:rPr>
        <w:t xml:space="preserve"> </w:t>
      </w:r>
      <w:r w:rsidR="0083562D" w:rsidRPr="00216AEC">
        <w:rPr>
          <w:rFonts w:ascii="Times New Roman" w:hAnsi="Times New Roman"/>
          <w:sz w:val="24"/>
          <w:szCs w:val="24"/>
        </w:rPr>
        <w:t>хил. в предходната година.</w:t>
      </w:r>
    </w:p>
    <w:p w14:paraId="7DA51F39" w14:textId="7B1394DB" w:rsidR="0083562D" w:rsidRPr="00216AEC" w:rsidRDefault="0083562D" w:rsidP="0083562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16AEC">
        <w:rPr>
          <w:rFonts w:ascii="Times New Roman" w:hAnsi="Times New Roman"/>
          <w:sz w:val="24"/>
          <w:szCs w:val="24"/>
        </w:rPr>
        <w:t xml:space="preserve">Разходите за възнаграждения са </w:t>
      </w:r>
      <w:r w:rsidR="00423F87" w:rsidRPr="00216AEC">
        <w:rPr>
          <w:rFonts w:ascii="Times New Roman" w:hAnsi="Times New Roman"/>
          <w:sz w:val="24"/>
          <w:szCs w:val="24"/>
        </w:rPr>
        <w:t>увеличени</w:t>
      </w:r>
      <w:r w:rsidRPr="00216AEC">
        <w:rPr>
          <w:rFonts w:ascii="Times New Roman" w:hAnsi="Times New Roman"/>
          <w:sz w:val="24"/>
          <w:szCs w:val="24"/>
        </w:rPr>
        <w:t xml:space="preserve"> с </w:t>
      </w:r>
      <w:r w:rsidR="00993D4A" w:rsidRPr="00216AEC">
        <w:rPr>
          <w:rFonts w:ascii="Times New Roman" w:hAnsi="Times New Roman"/>
          <w:sz w:val="24"/>
          <w:szCs w:val="24"/>
        </w:rPr>
        <w:t>9</w:t>
      </w:r>
      <w:r w:rsidRPr="00216AEC">
        <w:rPr>
          <w:rFonts w:ascii="Times New Roman" w:hAnsi="Times New Roman"/>
          <w:sz w:val="24"/>
          <w:szCs w:val="24"/>
        </w:rPr>
        <w:t xml:space="preserve"> хил. лв. </w:t>
      </w:r>
    </w:p>
    <w:p w14:paraId="42ABBE40" w14:textId="48215055" w:rsidR="0083562D" w:rsidRPr="00216AEC" w:rsidRDefault="0083562D" w:rsidP="0083562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16AEC">
        <w:rPr>
          <w:rFonts w:ascii="Times New Roman" w:hAnsi="Times New Roman"/>
          <w:sz w:val="24"/>
          <w:szCs w:val="24"/>
        </w:rPr>
        <w:t xml:space="preserve">Разходите за суровини и материали са </w:t>
      </w:r>
      <w:r w:rsidR="0089696F">
        <w:rPr>
          <w:rFonts w:ascii="Times New Roman" w:hAnsi="Times New Roman"/>
          <w:sz w:val="24"/>
          <w:szCs w:val="24"/>
        </w:rPr>
        <w:t>намалели</w:t>
      </w:r>
      <w:r w:rsidRPr="00216AEC">
        <w:rPr>
          <w:rFonts w:ascii="Times New Roman" w:hAnsi="Times New Roman"/>
          <w:sz w:val="24"/>
          <w:szCs w:val="24"/>
        </w:rPr>
        <w:t xml:space="preserve"> с </w:t>
      </w:r>
      <w:r w:rsidR="00993D4A" w:rsidRPr="00216AEC">
        <w:rPr>
          <w:rFonts w:ascii="Times New Roman" w:hAnsi="Times New Roman"/>
          <w:sz w:val="24"/>
          <w:szCs w:val="24"/>
        </w:rPr>
        <w:t>1</w:t>
      </w:r>
      <w:r w:rsidR="0089696F">
        <w:rPr>
          <w:rFonts w:ascii="Times New Roman" w:hAnsi="Times New Roman"/>
          <w:sz w:val="24"/>
          <w:szCs w:val="24"/>
        </w:rPr>
        <w:t>6</w:t>
      </w:r>
      <w:r w:rsidRPr="00216AEC">
        <w:rPr>
          <w:rFonts w:ascii="Times New Roman" w:hAnsi="Times New Roman"/>
          <w:sz w:val="24"/>
          <w:szCs w:val="24"/>
        </w:rPr>
        <w:t xml:space="preserve"> хил. лв.</w:t>
      </w:r>
    </w:p>
    <w:p w14:paraId="51AE707F" w14:textId="4C583E92" w:rsidR="0083562D" w:rsidRPr="00216AEC" w:rsidRDefault="0083562D" w:rsidP="0083562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16AEC">
        <w:rPr>
          <w:rFonts w:ascii="Times New Roman" w:hAnsi="Times New Roman"/>
          <w:sz w:val="24"/>
          <w:szCs w:val="24"/>
        </w:rPr>
        <w:t xml:space="preserve">Разходите за външни услуги са </w:t>
      </w:r>
      <w:r w:rsidR="00423F87" w:rsidRPr="00216AEC">
        <w:rPr>
          <w:rFonts w:ascii="Times New Roman" w:hAnsi="Times New Roman"/>
          <w:sz w:val="24"/>
          <w:szCs w:val="24"/>
        </w:rPr>
        <w:t>намалени</w:t>
      </w:r>
      <w:r w:rsidRPr="00216AEC">
        <w:rPr>
          <w:rFonts w:ascii="Times New Roman" w:hAnsi="Times New Roman"/>
          <w:sz w:val="24"/>
          <w:szCs w:val="24"/>
        </w:rPr>
        <w:t xml:space="preserve"> с </w:t>
      </w:r>
      <w:r w:rsidR="0089696F">
        <w:rPr>
          <w:rFonts w:ascii="Times New Roman" w:hAnsi="Times New Roman"/>
          <w:sz w:val="24"/>
          <w:szCs w:val="24"/>
        </w:rPr>
        <w:t>11</w:t>
      </w:r>
      <w:r w:rsidRPr="00216AEC">
        <w:rPr>
          <w:rFonts w:ascii="Times New Roman" w:hAnsi="Times New Roman"/>
          <w:sz w:val="24"/>
          <w:szCs w:val="24"/>
        </w:rPr>
        <w:t xml:space="preserve"> хил. </w:t>
      </w:r>
      <w:proofErr w:type="spellStart"/>
      <w:r w:rsidRPr="00216AEC">
        <w:rPr>
          <w:rFonts w:ascii="Times New Roman" w:hAnsi="Times New Roman"/>
          <w:sz w:val="24"/>
          <w:szCs w:val="24"/>
        </w:rPr>
        <w:t>лв</w:t>
      </w:r>
      <w:proofErr w:type="spellEnd"/>
      <w:r w:rsidR="00F60884" w:rsidRPr="00216AEC">
        <w:rPr>
          <w:rFonts w:ascii="Times New Roman" w:hAnsi="Times New Roman"/>
          <w:sz w:val="24"/>
          <w:szCs w:val="24"/>
        </w:rPr>
        <w:t xml:space="preserve">, в следствие на </w:t>
      </w:r>
      <w:r w:rsidR="00423F87" w:rsidRPr="00216AEC">
        <w:rPr>
          <w:rFonts w:ascii="Times New Roman" w:hAnsi="Times New Roman"/>
          <w:sz w:val="24"/>
          <w:szCs w:val="24"/>
        </w:rPr>
        <w:t xml:space="preserve">спирането на </w:t>
      </w:r>
      <w:r w:rsidR="00F60884" w:rsidRPr="00216AEC">
        <w:rPr>
          <w:rFonts w:ascii="Times New Roman" w:hAnsi="Times New Roman"/>
          <w:sz w:val="24"/>
          <w:szCs w:val="24"/>
        </w:rPr>
        <w:t xml:space="preserve">Програма </w:t>
      </w:r>
      <w:proofErr w:type="spellStart"/>
      <w:r w:rsidR="00F60884" w:rsidRPr="00216AEC">
        <w:rPr>
          <w:rFonts w:ascii="Times New Roman" w:hAnsi="Times New Roman"/>
          <w:sz w:val="24"/>
          <w:szCs w:val="24"/>
        </w:rPr>
        <w:t>Дезире</w:t>
      </w:r>
      <w:proofErr w:type="spellEnd"/>
      <w:r w:rsidR="00F60884" w:rsidRPr="00216AEC">
        <w:rPr>
          <w:rFonts w:ascii="Times New Roman" w:hAnsi="Times New Roman"/>
          <w:sz w:val="24"/>
          <w:szCs w:val="24"/>
        </w:rPr>
        <w:t>, по-която изграждането на битовите отоплителни инсталации се администрират и заплащат посредством Кнежа газ към строителите.</w:t>
      </w:r>
    </w:p>
    <w:p w14:paraId="2C1E8A69" w14:textId="77777777" w:rsidR="0083562D" w:rsidRPr="00216AEC" w:rsidRDefault="0083562D" w:rsidP="0083562D">
      <w:pPr>
        <w:jc w:val="both"/>
        <w:rPr>
          <w:rFonts w:ascii="Times New Roman" w:hAnsi="Times New Roman" w:cs="Times New Roman"/>
        </w:rPr>
      </w:pPr>
    </w:p>
    <w:p w14:paraId="2AB0A28E" w14:textId="6975EC5F" w:rsidR="0083562D" w:rsidRPr="00216AEC" w:rsidRDefault="0083562D" w:rsidP="004B18E6">
      <w:pPr>
        <w:ind w:firstLine="705"/>
        <w:jc w:val="both"/>
        <w:rPr>
          <w:rFonts w:ascii="Times New Roman" w:hAnsi="Times New Roman" w:cs="Times New Roman"/>
        </w:rPr>
      </w:pPr>
      <w:r w:rsidRPr="00216AEC">
        <w:rPr>
          <w:rFonts w:ascii="Times New Roman" w:hAnsi="Times New Roman" w:cs="Times New Roman"/>
        </w:rPr>
        <w:t>Дружеството разполага с необходимия персонал за осъществяване на основните направления на своята дейност.</w:t>
      </w:r>
      <w:r w:rsidRPr="00216AEC">
        <w:rPr>
          <w:rFonts w:ascii="Times New Roman" w:hAnsi="Times New Roman" w:cs="Times New Roman"/>
          <w:lang w:val="en-US"/>
        </w:rPr>
        <w:t xml:space="preserve"> </w:t>
      </w:r>
      <w:r w:rsidRPr="00216AEC">
        <w:rPr>
          <w:rFonts w:ascii="Times New Roman" w:hAnsi="Times New Roman" w:cs="Times New Roman"/>
        </w:rPr>
        <w:t xml:space="preserve">За отчетната </w:t>
      </w:r>
      <w:r w:rsidR="00423F87" w:rsidRPr="00216AEC">
        <w:rPr>
          <w:rFonts w:ascii="Times New Roman" w:hAnsi="Times New Roman" w:cs="Times New Roman"/>
        </w:rPr>
        <w:t>202</w:t>
      </w:r>
      <w:r w:rsidR="004B18E6">
        <w:rPr>
          <w:rFonts w:ascii="Times New Roman" w:hAnsi="Times New Roman" w:cs="Times New Roman"/>
        </w:rPr>
        <w:t>1</w:t>
      </w:r>
      <w:r w:rsidRPr="00216AEC">
        <w:rPr>
          <w:rFonts w:ascii="Times New Roman" w:hAnsi="Times New Roman" w:cs="Times New Roman"/>
        </w:rPr>
        <w:t xml:space="preserve"> год. се наблюдава </w:t>
      </w:r>
      <w:r w:rsidR="004B18E6">
        <w:rPr>
          <w:rFonts w:ascii="Times New Roman" w:hAnsi="Times New Roman" w:cs="Times New Roman"/>
        </w:rPr>
        <w:t>увеличение</w:t>
      </w:r>
      <w:r w:rsidRPr="00216AEC">
        <w:rPr>
          <w:rFonts w:ascii="Times New Roman" w:hAnsi="Times New Roman" w:cs="Times New Roman"/>
        </w:rPr>
        <w:t xml:space="preserve"> на </w:t>
      </w:r>
      <w:r w:rsidR="00423F87" w:rsidRPr="00216AEC">
        <w:rPr>
          <w:rFonts w:ascii="Times New Roman" w:hAnsi="Times New Roman" w:cs="Times New Roman"/>
        </w:rPr>
        <w:t xml:space="preserve">общо </w:t>
      </w:r>
      <w:r w:rsidRPr="00216AEC">
        <w:rPr>
          <w:rFonts w:ascii="Times New Roman" w:hAnsi="Times New Roman" w:cs="Times New Roman"/>
        </w:rPr>
        <w:t>снабдени</w:t>
      </w:r>
      <w:r w:rsidR="00423F87" w:rsidRPr="00216AEC">
        <w:rPr>
          <w:rFonts w:ascii="Times New Roman" w:hAnsi="Times New Roman" w:cs="Times New Roman"/>
        </w:rPr>
        <w:t>те</w:t>
      </w:r>
      <w:r w:rsidRPr="00216AEC">
        <w:rPr>
          <w:rFonts w:ascii="Times New Roman" w:hAnsi="Times New Roman" w:cs="Times New Roman"/>
        </w:rPr>
        <w:t xml:space="preserve"> и разпределени</w:t>
      </w:r>
      <w:r w:rsidR="00423F87" w:rsidRPr="00216AEC">
        <w:rPr>
          <w:rFonts w:ascii="Times New Roman" w:hAnsi="Times New Roman" w:cs="Times New Roman"/>
        </w:rPr>
        <w:t>те</w:t>
      </w:r>
      <w:r w:rsidRPr="00216AEC">
        <w:rPr>
          <w:rFonts w:ascii="Times New Roman" w:hAnsi="Times New Roman" w:cs="Times New Roman"/>
        </w:rPr>
        <w:t xml:space="preserve"> количества природен газ на битовите, промишлените и </w:t>
      </w:r>
      <w:r w:rsidRPr="00216AEC">
        <w:rPr>
          <w:rFonts w:ascii="Times New Roman" w:hAnsi="Times New Roman" w:cs="Times New Roman"/>
        </w:rPr>
        <w:lastRenderedPageBreak/>
        <w:t xml:space="preserve">обществено-административни и търговски потребители. </w:t>
      </w:r>
      <w:r w:rsidR="00423F87" w:rsidRPr="00216AEC">
        <w:rPr>
          <w:rFonts w:ascii="Times New Roman" w:hAnsi="Times New Roman" w:cs="Times New Roman"/>
        </w:rPr>
        <w:t>Икономичес</w:t>
      </w:r>
      <w:r w:rsidR="004B18E6">
        <w:rPr>
          <w:rFonts w:ascii="Times New Roman" w:hAnsi="Times New Roman" w:cs="Times New Roman"/>
        </w:rPr>
        <w:t xml:space="preserve">кото възстановяване след </w:t>
      </w:r>
      <w:r w:rsidR="00423F87" w:rsidRPr="00216AEC">
        <w:rPr>
          <w:rFonts w:ascii="Times New Roman" w:hAnsi="Times New Roman" w:cs="Times New Roman"/>
        </w:rPr>
        <w:t>пандемията започнал</w:t>
      </w:r>
      <w:r w:rsidR="004B18E6">
        <w:rPr>
          <w:rFonts w:ascii="Times New Roman" w:hAnsi="Times New Roman" w:cs="Times New Roman"/>
        </w:rPr>
        <w:t>о</w:t>
      </w:r>
      <w:r w:rsidR="00423F87" w:rsidRPr="00216AEC">
        <w:rPr>
          <w:rFonts w:ascii="Times New Roman" w:hAnsi="Times New Roman" w:cs="Times New Roman"/>
        </w:rPr>
        <w:t xml:space="preserve"> в началото </w:t>
      </w:r>
      <w:r w:rsidR="004B18E6">
        <w:rPr>
          <w:rFonts w:ascii="Times New Roman" w:hAnsi="Times New Roman" w:cs="Times New Roman"/>
        </w:rPr>
        <w:t>в края</w:t>
      </w:r>
      <w:r w:rsidR="00423F87" w:rsidRPr="00216AEC">
        <w:rPr>
          <w:rFonts w:ascii="Times New Roman" w:hAnsi="Times New Roman" w:cs="Times New Roman"/>
        </w:rPr>
        <w:t xml:space="preserve"> 202</w:t>
      </w:r>
      <w:r w:rsidR="004B18E6">
        <w:rPr>
          <w:rFonts w:ascii="Times New Roman" w:hAnsi="Times New Roman" w:cs="Times New Roman"/>
        </w:rPr>
        <w:t>0</w:t>
      </w:r>
      <w:r w:rsidR="00423F87" w:rsidRPr="00216AEC">
        <w:rPr>
          <w:rFonts w:ascii="Times New Roman" w:hAnsi="Times New Roman" w:cs="Times New Roman"/>
        </w:rPr>
        <w:t>г.</w:t>
      </w:r>
      <w:r w:rsidR="004B18E6">
        <w:rPr>
          <w:rFonts w:ascii="Times New Roman" w:hAnsi="Times New Roman" w:cs="Times New Roman"/>
        </w:rPr>
        <w:t xml:space="preserve"> и продължило през 2021</w:t>
      </w:r>
      <w:r w:rsidR="00423F87" w:rsidRPr="00216AEC">
        <w:rPr>
          <w:rFonts w:ascii="Times New Roman" w:hAnsi="Times New Roman" w:cs="Times New Roman"/>
        </w:rPr>
        <w:t xml:space="preserve">, допринесе за общ </w:t>
      </w:r>
      <w:r w:rsidR="004B18E6">
        <w:rPr>
          <w:rFonts w:ascii="Times New Roman" w:hAnsi="Times New Roman" w:cs="Times New Roman"/>
        </w:rPr>
        <w:t>ръст</w:t>
      </w:r>
      <w:r w:rsidR="00423F87" w:rsidRPr="00216AEC">
        <w:rPr>
          <w:rFonts w:ascii="Times New Roman" w:hAnsi="Times New Roman" w:cs="Times New Roman"/>
        </w:rPr>
        <w:t xml:space="preserve"> в икономическата активност, което неминуемо се отрази и на консумацията на природен газ основно от промишлеността.</w:t>
      </w:r>
      <w:r w:rsidRPr="00216AEC">
        <w:rPr>
          <w:rFonts w:ascii="Times New Roman" w:hAnsi="Times New Roman" w:cs="Times New Roman"/>
        </w:rPr>
        <w:t xml:space="preserve"> </w:t>
      </w:r>
    </w:p>
    <w:p w14:paraId="5558F534" w14:textId="41C4EA0B" w:rsidR="0083562D" w:rsidRPr="00960A14" w:rsidRDefault="0083562D" w:rsidP="00960A14">
      <w:pPr>
        <w:ind w:firstLine="705"/>
        <w:jc w:val="both"/>
        <w:rPr>
          <w:rFonts w:ascii="Times New Roman" w:hAnsi="Times New Roman" w:cs="Times New Roman"/>
        </w:rPr>
      </w:pPr>
      <w:r w:rsidRPr="00216AEC">
        <w:rPr>
          <w:rFonts w:ascii="Times New Roman" w:hAnsi="Times New Roman" w:cs="Times New Roman"/>
        </w:rPr>
        <w:t>В сравнение с 20</w:t>
      </w:r>
      <w:r w:rsidR="0089696F">
        <w:rPr>
          <w:rFonts w:ascii="Times New Roman" w:hAnsi="Times New Roman" w:cs="Times New Roman"/>
        </w:rPr>
        <w:t>2</w:t>
      </w:r>
      <w:r w:rsidR="00C60319">
        <w:rPr>
          <w:rFonts w:ascii="Times New Roman" w:hAnsi="Times New Roman" w:cs="Times New Roman"/>
        </w:rPr>
        <w:t>0</w:t>
      </w:r>
      <w:r w:rsidRPr="00216AEC">
        <w:rPr>
          <w:rFonts w:ascii="Times New Roman" w:hAnsi="Times New Roman" w:cs="Times New Roman"/>
        </w:rPr>
        <w:t xml:space="preserve"> год. </w:t>
      </w:r>
      <w:r w:rsidR="00423F87" w:rsidRPr="00216AEC">
        <w:rPr>
          <w:rFonts w:ascii="Times New Roman" w:hAnsi="Times New Roman" w:cs="Times New Roman"/>
        </w:rPr>
        <w:t>увеличение</w:t>
      </w:r>
      <w:r w:rsidRPr="00216AEC">
        <w:rPr>
          <w:rFonts w:ascii="Times New Roman" w:hAnsi="Times New Roman" w:cs="Times New Roman"/>
        </w:rPr>
        <w:t xml:space="preserve"> при консумацията на битовите потребители е с </w:t>
      </w:r>
      <w:r w:rsidR="00960A14">
        <w:rPr>
          <w:rFonts w:ascii="Times New Roman" w:hAnsi="Times New Roman" w:cs="Times New Roman"/>
        </w:rPr>
        <w:t>443</w:t>
      </w:r>
      <w:r w:rsidR="00A91459" w:rsidRPr="00216AEC">
        <w:rPr>
          <w:rFonts w:ascii="Times New Roman" w:hAnsi="Times New Roman" w:cs="Times New Roman"/>
        </w:rPr>
        <w:t xml:space="preserve"> М</w:t>
      </w:r>
      <w:proofErr w:type="spellStart"/>
      <w:r w:rsidR="00A91459" w:rsidRPr="00216AEC">
        <w:rPr>
          <w:rFonts w:ascii="Times New Roman" w:hAnsi="Times New Roman" w:cs="Times New Roman"/>
          <w:lang w:val="en-US"/>
        </w:rPr>
        <w:t>Wh</w:t>
      </w:r>
      <w:proofErr w:type="spellEnd"/>
      <w:r w:rsidR="00423F87" w:rsidRPr="00216AEC">
        <w:rPr>
          <w:rFonts w:ascii="Times New Roman" w:hAnsi="Times New Roman" w:cs="Times New Roman"/>
        </w:rPr>
        <w:t>, вследствие на увеличения брой абонати и сравнително студената зима</w:t>
      </w:r>
      <w:r w:rsidRPr="00216AEC">
        <w:rPr>
          <w:rFonts w:ascii="Times New Roman" w:hAnsi="Times New Roman" w:cs="Times New Roman"/>
          <w:vertAlign w:val="superscript"/>
        </w:rPr>
        <w:t xml:space="preserve"> </w:t>
      </w:r>
      <w:r w:rsidRPr="00216AEC">
        <w:rPr>
          <w:rFonts w:ascii="Times New Roman" w:hAnsi="Times New Roman" w:cs="Times New Roman"/>
        </w:rPr>
        <w:t>,</w:t>
      </w:r>
      <w:r w:rsidR="00423F87" w:rsidRPr="00216AEC">
        <w:rPr>
          <w:rFonts w:ascii="Times New Roman" w:hAnsi="Times New Roman" w:cs="Times New Roman"/>
        </w:rPr>
        <w:t xml:space="preserve"> </w:t>
      </w:r>
      <w:r w:rsidRPr="00216AEC">
        <w:rPr>
          <w:rFonts w:ascii="Times New Roman" w:hAnsi="Times New Roman" w:cs="Times New Roman"/>
        </w:rPr>
        <w:t>при промишлените</w:t>
      </w:r>
      <w:r w:rsidR="00A91459" w:rsidRPr="00216AEC">
        <w:rPr>
          <w:rFonts w:ascii="Times New Roman" w:hAnsi="Times New Roman" w:cs="Times New Roman"/>
        </w:rPr>
        <w:t xml:space="preserve"> се наблюдава </w:t>
      </w:r>
      <w:r w:rsidR="00960A14">
        <w:rPr>
          <w:rFonts w:ascii="Times New Roman" w:hAnsi="Times New Roman" w:cs="Times New Roman"/>
        </w:rPr>
        <w:t>увеличение</w:t>
      </w:r>
      <w:r w:rsidRPr="00216AEC">
        <w:rPr>
          <w:rFonts w:ascii="Times New Roman" w:hAnsi="Times New Roman" w:cs="Times New Roman"/>
        </w:rPr>
        <w:t xml:space="preserve"> с </w:t>
      </w:r>
      <w:r w:rsidR="00960A14">
        <w:rPr>
          <w:rFonts w:ascii="Times New Roman" w:hAnsi="Times New Roman" w:cs="Times New Roman"/>
        </w:rPr>
        <w:t>215</w:t>
      </w:r>
      <w:r w:rsidR="00A91459" w:rsidRPr="00216AEC">
        <w:rPr>
          <w:rFonts w:ascii="Times New Roman" w:hAnsi="Times New Roman" w:cs="Times New Roman"/>
          <w:lang w:val="en-US"/>
        </w:rPr>
        <w:t xml:space="preserve"> MWh </w:t>
      </w:r>
      <w:r w:rsidRPr="00216AEC">
        <w:rPr>
          <w:rFonts w:ascii="Times New Roman" w:hAnsi="Times New Roman" w:cs="Times New Roman"/>
        </w:rPr>
        <w:t xml:space="preserve"> и при обществено-административни и търговски потребители с </w:t>
      </w:r>
      <w:r w:rsidR="00960A14">
        <w:rPr>
          <w:rFonts w:ascii="Times New Roman" w:hAnsi="Times New Roman" w:cs="Times New Roman"/>
        </w:rPr>
        <w:t xml:space="preserve">902 </w:t>
      </w:r>
      <w:r w:rsidR="00A91459" w:rsidRPr="00216AEC">
        <w:rPr>
          <w:rFonts w:ascii="Times New Roman" w:hAnsi="Times New Roman" w:cs="Times New Roman"/>
          <w:lang w:val="en-US"/>
        </w:rPr>
        <w:t>MWh</w:t>
      </w:r>
      <w:r w:rsidRPr="00216AEC">
        <w:rPr>
          <w:rFonts w:ascii="Times New Roman" w:hAnsi="Times New Roman" w:cs="Times New Roman"/>
        </w:rPr>
        <w:t>. През 20</w:t>
      </w:r>
      <w:r w:rsidR="00960A14">
        <w:rPr>
          <w:rFonts w:ascii="Times New Roman" w:hAnsi="Times New Roman" w:cs="Times New Roman"/>
        </w:rPr>
        <w:t>21</w:t>
      </w:r>
      <w:r w:rsidRPr="00216AEC">
        <w:rPr>
          <w:rFonts w:ascii="Times New Roman" w:hAnsi="Times New Roman" w:cs="Times New Roman"/>
        </w:rPr>
        <w:t xml:space="preserve"> год. е увеличен броя на битовите потребители в сравнение с 20</w:t>
      </w:r>
      <w:r w:rsidR="00960A14">
        <w:rPr>
          <w:rFonts w:ascii="Times New Roman" w:hAnsi="Times New Roman" w:cs="Times New Roman"/>
        </w:rPr>
        <w:t>20</w:t>
      </w:r>
      <w:r w:rsidRPr="00216AEC">
        <w:rPr>
          <w:rFonts w:ascii="Times New Roman" w:hAnsi="Times New Roman" w:cs="Times New Roman"/>
        </w:rPr>
        <w:t xml:space="preserve"> г. , като ново присъединените потребители са </w:t>
      </w:r>
      <w:r w:rsidR="00960A14">
        <w:rPr>
          <w:rFonts w:ascii="Times New Roman" w:hAnsi="Times New Roman" w:cs="Times New Roman"/>
        </w:rPr>
        <w:t>28</w:t>
      </w:r>
      <w:r w:rsidRPr="00216AEC">
        <w:rPr>
          <w:rFonts w:ascii="Times New Roman" w:hAnsi="Times New Roman" w:cs="Times New Roman"/>
        </w:rPr>
        <w:t xml:space="preserve"> броя.</w:t>
      </w:r>
    </w:p>
    <w:p w14:paraId="50C3C101" w14:textId="77777777" w:rsidR="00B258D6" w:rsidRPr="00216AEC" w:rsidRDefault="00B258D6" w:rsidP="0083562D">
      <w:pPr>
        <w:ind w:firstLine="705"/>
        <w:jc w:val="both"/>
        <w:rPr>
          <w:rFonts w:ascii="Times New Roman" w:hAnsi="Times New Roman" w:cs="Times New Roman"/>
          <w:lang w:val="en-US"/>
        </w:rPr>
      </w:pPr>
    </w:p>
    <w:p w14:paraId="00D01989" w14:textId="77777777" w:rsidR="00B258D6" w:rsidRPr="00216AEC" w:rsidRDefault="00B258D6" w:rsidP="0083562D">
      <w:pPr>
        <w:ind w:firstLine="705"/>
        <w:jc w:val="both"/>
        <w:rPr>
          <w:rFonts w:ascii="Times New Roman" w:hAnsi="Times New Roman" w:cs="Times New Roman"/>
          <w:lang w:val="en-US"/>
        </w:rPr>
      </w:pPr>
    </w:p>
    <w:p w14:paraId="4A704BE6" w14:textId="77777777" w:rsidR="00B258D6" w:rsidRPr="00216AEC" w:rsidRDefault="00B258D6" w:rsidP="0083562D">
      <w:pPr>
        <w:ind w:firstLine="705"/>
        <w:jc w:val="both"/>
        <w:rPr>
          <w:rFonts w:ascii="Times New Roman" w:hAnsi="Times New Roman"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2756"/>
        <w:gridCol w:w="2608"/>
      </w:tblGrid>
      <w:tr w:rsidR="00216AEC" w:rsidRPr="00216AEC" w14:paraId="0D53A901" w14:textId="77777777" w:rsidTr="0089696F">
        <w:trPr>
          <w:trHeight w:val="315"/>
        </w:trPr>
        <w:tc>
          <w:tcPr>
            <w:tcW w:w="3698" w:type="dxa"/>
            <w:shd w:val="clear" w:color="auto" w:fill="auto"/>
            <w:noWrap/>
            <w:hideMark/>
          </w:tcPr>
          <w:p w14:paraId="511C9A0F" w14:textId="77777777" w:rsidR="0083562D" w:rsidRPr="00216AEC" w:rsidRDefault="0083562D" w:rsidP="0083562D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16AEC">
              <w:rPr>
                <w:rFonts w:ascii="Times New Roman" w:eastAsia="Calibri" w:hAnsi="Times New Roman" w:cs="Times New Roman"/>
                <w:b/>
                <w:bCs/>
              </w:rPr>
              <w:t>ГРУПИ</w:t>
            </w:r>
            <w:r w:rsidRPr="00216AEC">
              <w:rPr>
                <w:rFonts w:ascii="Times New Roman" w:eastAsia="Calibri" w:hAnsi="Times New Roman" w:cs="Times New Roman"/>
                <w:b/>
                <w:bCs/>
                <w:strike/>
              </w:rPr>
              <w:t xml:space="preserve"> </w:t>
            </w:r>
            <w:r w:rsidRPr="00216AEC">
              <w:rPr>
                <w:rFonts w:ascii="Times New Roman" w:eastAsia="Calibri" w:hAnsi="Times New Roman" w:cs="Times New Roman"/>
                <w:b/>
                <w:bCs/>
              </w:rPr>
              <w:t>ПОТРЕБИТЕЛИ</w:t>
            </w:r>
          </w:p>
        </w:tc>
        <w:tc>
          <w:tcPr>
            <w:tcW w:w="2756" w:type="dxa"/>
            <w:shd w:val="clear" w:color="auto" w:fill="auto"/>
            <w:noWrap/>
            <w:hideMark/>
          </w:tcPr>
          <w:p w14:paraId="514F1F25" w14:textId="68D0760D" w:rsidR="0083562D" w:rsidRPr="00216AEC" w:rsidRDefault="0083562D" w:rsidP="00B45F8F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16AEC">
              <w:rPr>
                <w:rFonts w:ascii="Times New Roman" w:eastAsia="Calibri" w:hAnsi="Times New Roman" w:cs="Times New Roman"/>
                <w:b/>
                <w:bCs/>
              </w:rPr>
              <w:t>Отчетено 20</w:t>
            </w:r>
            <w:r w:rsidR="0089696F">
              <w:rPr>
                <w:rFonts w:ascii="Times New Roman" w:eastAsia="Calibri" w:hAnsi="Times New Roman" w:cs="Times New Roman"/>
                <w:b/>
                <w:bCs/>
              </w:rPr>
              <w:t>20</w:t>
            </w:r>
            <w:r w:rsidRPr="00216AEC">
              <w:rPr>
                <w:rFonts w:ascii="Times New Roman" w:eastAsia="Calibri" w:hAnsi="Times New Roman" w:cs="Times New Roman"/>
                <w:b/>
                <w:bCs/>
              </w:rPr>
              <w:t xml:space="preserve"> г., </w:t>
            </w:r>
            <w:proofErr w:type="spellStart"/>
            <w:r w:rsidR="00423F87" w:rsidRPr="00216AEC">
              <w:rPr>
                <w:rFonts w:ascii="Times New Roman" w:eastAsia="Calibri" w:hAnsi="Times New Roman" w:cs="Times New Roman"/>
                <w:b/>
                <w:bCs/>
              </w:rPr>
              <w:t>МВч</w:t>
            </w:r>
            <w:proofErr w:type="spellEnd"/>
          </w:p>
        </w:tc>
        <w:tc>
          <w:tcPr>
            <w:tcW w:w="2608" w:type="dxa"/>
            <w:shd w:val="clear" w:color="auto" w:fill="auto"/>
            <w:noWrap/>
            <w:hideMark/>
          </w:tcPr>
          <w:p w14:paraId="636AA548" w14:textId="6FFE798A" w:rsidR="0083562D" w:rsidRPr="00216AEC" w:rsidRDefault="0083562D" w:rsidP="00B45F8F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16AEC">
              <w:rPr>
                <w:rFonts w:ascii="Times New Roman" w:eastAsia="Calibri" w:hAnsi="Times New Roman" w:cs="Times New Roman"/>
                <w:b/>
                <w:bCs/>
              </w:rPr>
              <w:t>Отчетено 20</w:t>
            </w:r>
            <w:r w:rsidR="00423F87" w:rsidRPr="00216AEC"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="0089696F">
              <w:rPr>
                <w:rFonts w:ascii="Times New Roman" w:eastAsia="Calibri" w:hAnsi="Times New Roman" w:cs="Times New Roman"/>
                <w:b/>
                <w:bCs/>
              </w:rPr>
              <w:t>1</w:t>
            </w:r>
            <w:r w:rsidRPr="00216AEC">
              <w:rPr>
                <w:rFonts w:ascii="Times New Roman" w:eastAsia="Calibri" w:hAnsi="Times New Roman" w:cs="Times New Roman"/>
                <w:b/>
                <w:bCs/>
              </w:rPr>
              <w:t xml:space="preserve"> г.  </w:t>
            </w:r>
            <w:proofErr w:type="spellStart"/>
            <w:r w:rsidR="00423F87" w:rsidRPr="00216AEC">
              <w:rPr>
                <w:rFonts w:ascii="Times New Roman" w:eastAsia="Calibri" w:hAnsi="Times New Roman" w:cs="Times New Roman"/>
                <w:b/>
                <w:bCs/>
              </w:rPr>
              <w:t>МВч</w:t>
            </w:r>
            <w:proofErr w:type="spellEnd"/>
          </w:p>
        </w:tc>
      </w:tr>
      <w:tr w:rsidR="0089696F" w:rsidRPr="00216AEC" w14:paraId="13A42B68" w14:textId="77777777" w:rsidTr="0089696F">
        <w:trPr>
          <w:trHeight w:val="315"/>
        </w:trPr>
        <w:tc>
          <w:tcPr>
            <w:tcW w:w="3698" w:type="dxa"/>
            <w:shd w:val="clear" w:color="auto" w:fill="auto"/>
            <w:noWrap/>
            <w:hideMark/>
          </w:tcPr>
          <w:p w14:paraId="5D8749C7" w14:textId="77777777" w:rsidR="0089696F" w:rsidRPr="00216AEC" w:rsidRDefault="0089696F" w:rsidP="0089696F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216AEC">
              <w:rPr>
                <w:rFonts w:ascii="Times New Roman" w:eastAsia="Calibri" w:hAnsi="Times New Roman" w:cs="Times New Roman"/>
                <w:b/>
                <w:bCs/>
              </w:rPr>
              <w:t>Пром</w:t>
            </w:r>
            <w:proofErr w:type="spellEnd"/>
            <w:r w:rsidRPr="00216AEC">
              <w:rPr>
                <w:rFonts w:ascii="Times New Roman" w:eastAsia="Calibri" w:hAnsi="Times New Roman" w:cs="Times New Roman"/>
                <w:b/>
                <w:bCs/>
              </w:rPr>
              <w:t>. потребители</w:t>
            </w:r>
          </w:p>
        </w:tc>
        <w:tc>
          <w:tcPr>
            <w:tcW w:w="2756" w:type="dxa"/>
            <w:shd w:val="clear" w:color="auto" w:fill="auto"/>
            <w:noWrap/>
            <w:vAlign w:val="bottom"/>
            <w:hideMark/>
          </w:tcPr>
          <w:p w14:paraId="2A263CE6" w14:textId="205F2773" w:rsidR="0089696F" w:rsidRPr="00216AEC" w:rsidRDefault="00960A14" w:rsidP="0089696F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7195</w:t>
            </w:r>
          </w:p>
        </w:tc>
        <w:tc>
          <w:tcPr>
            <w:tcW w:w="2608" w:type="dxa"/>
            <w:shd w:val="clear" w:color="auto" w:fill="auto"/>
            <w:noWrap/>
            <w:vAlign w:val="bottom"/>
          </w:tcPr>
          <w:p w14:paraId="17FB02B9" w14:textId="4950BD97" w:rsidR="0089696F" w:rsidRPr="00216AEC" w:rsidRDefault="00960A14" w:rsidP="0089696F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7410</w:t>
            </w:r>
          </w:p>
        </w:tc>
      </w:tr>
      <w:tr w:rsidR="0089696F" w:rsidRPr="00216AEC" w14:paraId="6BDD4CD0" w14:textId="77777777" w:rsidTr="0089696F">
        <w:trPr>
          <w:trHeight w:val="315"/>
        </w:trPr>
        <w:tc>
          <w:tcPr>
            <w:tcW w:w="3698" w:type="dxa"/>
            <w:shd w:val="clear" w:color="auto" w:fill="auto"/>
            <w:noWrap/>
            <w:hideMark/>
          </w:tcPr>
          <w:p w14:paraId="1C21F11A" w14:textId="77777777" w:rsidR="0089696F" w:rsidRPr="00216AEC" w:rsidRDefault="0089696F" w:rsidP="0089696F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16AEC">
              <w:rPr>
                <w:rFonts w:ascii="Times New Roman" w:eastAsia="Calibri" w:hAnsi="Times New Roman" w:cs="Times New Roman"/>
                <w:b/>
                <w:bCs/>
              </w:rPr>
              <w:t>ОА и търговски</w:t>
            </w:r>
          </w:p>
        </w:tc>
        <w:tc>
          <w:tcPr>
            <w:tcW w:w="2756" w:type="dxa"/>
            <w:shd w:val="clear" w:color="auto" w:fill="auto"/>
            <w:noWrap/>
            <w:vAlign w:val="bottom"/>
            <w:hideMark/>
          </w:tcPr>
          <w:p w14:paraId="5D2B2E63" w14:textId="76D2F2E6" w:rsidR="0089696F" w:rsidRPr="00216AEC" w:rsidRDefault="00960A14" w:rsidP="0089696F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2325</w:t>
            </w:r>
          </w:p>
        </w:tc>
        <w:tc>
          <w:tcPr>
            <w:tcW w:w="2608" w:type="dxa"/>
            <w:shd w:val="clear" w:color="auto" w:fill="auto"/>
            <w:noWrap/>
            <w:vAlign w:val="bottom"/>
          </w:tcPr>
          <w:p w14:paraId="5C9F71CA" w14:textId="69B622D9" w:rsidR="0089696F" w:rsidRPr="00216AEC" w:rsidRDefault="00960A14" w:rsidP="0089696F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3226</w:t>
            </w:r>
          </w:p>
        </w:tc>
      </w:tr>
      <w:tr w:rsidR="0089696F" w:rsidRPr="00216AEC" w14:paraId="59E4B7A3" w14:textId="77777777" w:rsidTr="0089696F">
        <w:trPr>
          <w:trHeight w:val="315"/>
        </w:trPr>
        <w:tc>
          <w:tcPr>
            <w:tcW w:w="3698" w:type="dxa"/>
            <w:shd w:val="clear" w:color="auto" w:fill="auto"/>
            <w:noWrap/>
            <w:hideMark/>
          </w:tcPr>
          <w:p w14:paraId="23D8C020" w14:textId="77777777" w:rsidR="0089696F" w:rsidRPr="00216AEC" w:rsidRDefault="0089696F" w:rsidP="0089696F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16AEC">
              <w:rPr>
                <w:rFonts w:ascii="Times New Roman" w:eastAsia="Calibri" w:hAnsi="Times New Roman" w:cs="Times New Roman"/>
                <w:b/>
                <w:bCs/>
              </w:rPr>
              <w:t>Битови потребители</w:t>
            </w:r>
          </w:p>
        </w:tc>
        <w:tc>
          <w:tcPr>
            <w:tcW w:w="2756" w:type="dxa"/>
            <w:shd w:val="clear" w:color="auto" w:fill="auto"/>
            <w:noWrap/>
            <w:vAlign w:val="bottom"/>
            <w:hideMark/>
          </w:tcPr>
          <w:p w14:paraId="4D4F4924" w14:textId="084D9FE6" w:rsidR="0089696F" w:rsidRPr="00216AEC" w:rsidRDefault="0089696F" w:rsidP="0089696F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16AEC">
              <w:rPr>
                <w:rFonts w:ascii="Times New Roman" w:hAnsi="Times New Roman" w:cs="Times New Roman"/>
                <w:b/>
              </w:rPr>
              <w:t>2410</w:t>
            </w:r>
          </w:p>
        </w:tc>
        <w:tc>
          <w:tcPr>
            <w:tcW w:w="2608" w:type="dxa"/>
            <w:shd w:val="clear" w:color="auto" w:fill="auto"/>
            <w:noWrap/>
            <w:vAlign w:val="bottom"/>
          </w:tcPr>
          <w:p w14:paraId="75B5C8C9" w14:textId="00B3C160" w:rsidR="0089696F" w:rsidRPr="00216AEC" w:rsidRDefault="00960A14" w:rsidP="0089696F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2853</w:t>
            </w:r>
          </w:p>
        </w:tc>
      </w:tr>
    </w:tbl>
    <w:p w14:paraId="3665C25B" w14:textId="413196B3" w:rsidR="0083562D" w:rsidRPr="00C156B0" w:rsidRDefault="0030214F" w:rsidP="0083562D">
      <w:pPr>
        <w:jc w:val="both"/>
        <w:rPr>
          <w:rFonts w:ascii="Times New Roman" w:hAnsi="Times New Roman" w:cs="Times New Roman"/>
          <w:color w:val="FF0000"/>
        </w:rPr>
      </w:pPr>
      <w:r w:rsidRPr="00C156B0">
        <w:rPr>
          <w:noProof/>
          <w:color w:val="FF0000"/>
        </w:rPr>
        <w:drawing>
          <wp:inline distT="0" distB="0" distL="0" distR="0" wp14:anchorId="55DE88E3" wp14:editId="144F304B">
            <wp:extent cx="4600575" cy="2771775"/>
            <wp:effectExtent l="0" t="0" r="0" b="0"/>
            <wp:docPr id="6" name="Диагра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8DDE43D" w14:textId="421A4335" w:rsidR="0083562D" w:rsidRPr="00216AEC" w:rsidRDefault="0083562D" w:rsidP="0083562D">
      <w:pPr>
        <w:ind w:firstLine="708"/>
        <w:jc w:val="both"/>
        <w:rPr>
          <w:rFonts w:ascii="Times New Roman" w:hAnsi="Times New Roman" w:cs="Times New Roman"/>
        </w:rPr>
      </w:pPr>
      <w:r w:rsidRPr="00216AEC">
        <w:rPr>
          <w:rFonts w:ascii="Times New Roman" w:hAnsi="Times New Roman" w:cs="Times New Roman"/>
        </w:rPr>
        <w:t>В сравнение с бизнеса плана за отчетната 20</w:t>
      </w:r>
      <w:r w:rsidR="00216AEC" w:rsidRPr="00216AEC">
        <w:rPr>
          <w:rFonts w:ascii="Times New Roman" w:hAnsi="Times New Roman" w:cs="Times New Roman"/>
        </w:rPr>
        <w:t>2</w:t>
      </w:r>
      <w:r w:rsidR="00960A14">
        <w:rPr>
          <w:rFonts w:ascii="Times New Roman" w:hAnsi="Times New Roman" w:cs="Times New Roman"/>
        </w:rPr>
        <w:t>1</w:t>
      </w:r>
      <w:r w:rsidRPr="00216AEC">
        <w:rPr>
          <w:rFonts w:ascii="Times New Roman" w:hAnsi="Times New Roman" w:cs="Times New Roman"/>
        </w:rPr>
        <w:t xml:space="preserve"> г. е предвидено изграждане на мрежа /</w:t>
      </w:r>
      <w:proofErr w:type="spellStart"/>
      <w:r w:rsidRPr="00216AEC">
        <w:rPr>
          <w:rFonts w:ascii="Times New Roman" w:hAnsi="Times New Roman" w:cs="Times New Roman"/>
        </w:rPr>
        <w:t>л.м</w:t>
      </w:r>
      <w:proofErr w:type="spellEnd"/>
      <w:r w:rsidRPr="00216AEC">
        <w:rPr>
          <w:rFonts w:ascii="Times New Roman" w:hAnsi="Times New Roman" w:cs="Times New Roman"/>
        </w:rPr>
        <w:t xml:space="preserve">./ от </w:t>
      </w:r>
      <w:r w:rsidR="004D44EF">
        <w:rPr>
          <w:rFonts w:ascii="Times New Roman" w:hAnsi="Times New Roman" w:cs="Times New Roman"/>
        </w:rPr>
        <w:t>622</w:t>
      </w:r>
      <w:r w:rsidRPr="00216AEC">
        <w:rPr>
          <w:rFonts w:ascii="Times New Roman" w:hAnsi="Times New Roman" w:cs="Times New Roman"/>
        </w:rPr>
        <w:t xml:space="preserve"> </w:t>
      </w:r>
      <w:proofErr w:type="spellStart"/>
      <w:r w:rsidRPr="00216AEC">
        <w:rPr>
          <w:rFonts w:ascii="Times New Roman" w:hAnsi="Times New Roman" w:cs="Times New Roman"/>
        </w:rPr>
        <w:t>л.м</w:t>
      </w:r>
      <w:proofErr w:type="spellEnd"/>
      <w:r w:rsidRPr="00216AEC">
        <w:rPr>
          <w:rFonts w:ascii="Times New Roman" w:hAnsi="Times New Roman" w:cs="Times New Roman"/>
        </w:rPr>
        <w:t xml:space="preserve">., действително е изградена </w:t>
      </w:r>
      <w:r w:rsidR="000F4A7D">
        <w:rPr>
          <w:rFonts w:ascii="Times New Roman" w:hAnsi="Times New Roman" w:cs="Times New Roman"/>
        </w:rPr>
        <w:t>1097,1</w:t>
      </w:r>
      <w:r w:rsidRPr="00216AEC">
        <w:rPr>
          <w:rFonts w:ascii="Times New Roman" w:hAnsi="Times New Roman" w:cs="Times New Roman"/>
        </w:rPr>
        <w:t xml:space="preserve"> </w:t>
      </w:r>
      <w:proofErr w:type="spellStart"/>
      <w:r w:rsidRPr="00216AEC">
        <w:rPr>
          <w:rFonts w:ascii="Times New Roman" w:hAnsi="Times New Roman" w:cs="Times New Roman"/>
        </w:rPr>
        <w:t>л.м</w:t>
      </w:r>
      <w:proofErr w:type="spellEnd"/>
      <w:r w:rsidRPr="00216AEC">
        <w:rPr>
          <w:rFonts w:ascii="Times New Roman" w:hAnsi="Times New Roman" w:cs="Times New Roman"/>
        </w:rPr>
        <w:t xml:space="preserve">. </w:t>
      </w:r>
    </w:p>
    <w:p w14:paraId="7389E76D" w14:textId="0896B160" w:rsidR="0083562D" w:rsidRPr="00216AEC" w:rsidRDefault="0083562D" w:rsidP="0083562D">
      <w:pPr>
        <w:ind w:firstLine="708"/>
        <w:jc w:val="both"/>
        <w:rPr>
          <w:rFonts w:ascii="Times New Roman" w:hAnsi="Times New Roman" w:cs="Times New Roman"/>
        </w:rPr>
      </w:pPr>
      <w:r w:rsidRPr="00216AEC">
        <w:rPr>
          <w:rFonts w:ascii="Times New Roman" w:hAnsi="Times New Roman" w:cs="Times New Roman"/>
        </w:rPr>
        <w:t xml:space="preserve">Направени инвестиции за отчетната година: по бизнес план са </w:t>
      </w:r>
      <w:r w:rsidR="004D44EF">
        <w:rPr>
          <w:rFonts w:ascii="Times New Roman" w:hAnsi="Times New Roman" w:cs="Times New Roman"/>
        </w:rPr>
        <w:t>70,323</w:t>
      </w:r>
      <w:r w:rsidRPr="00216AEC">
        <w:rPr>
          <w:rFonts w:ascii="Times New Roman" w:hAnsi="Times New Roman" w:cs="Times New Roman"/>
        </w:rPr>
        <w:t xml:space="preserve"> хил. лв., действително извършени </w:t>
      </w:r>
      <w:r w:rsidR="000F4A7D">
        <w:rPr>
          <w:rFonts w:ascii="Times New Roman" w:hAnsi="Times New Roman" w:cs="Times New Roman"/>
        </w:rPr>
        <w:t>68,038</w:t>
      </w:r>
      <w:r w:rsidR="00245447" w:rsidRPr="00216AEC">
        <w:rPr>
          <w:rFonts w:ascii="Times New Roman" w:hAnsi="Times New Roman" w:cs="Times New Roman"/>
          <w:lang w:val="en-US"/>
        </w:rPr>
        <w:t xml:space="preserve"> </w:t>
      </w:r>
      <w:r w:rsidRPr="00216AEC">
        <w:rPr>
          <w:rFonts w:ascii="Times New Roman" w:hAnsi="Times New Roman" w:cs="Times New Roman"/>
        </w:rPr>
        <w:t>хил. лв.</w:t>
      </w:r>
    </w:p>
    <w:p w14:paraId="0C8036C3" w14:textId="6528FC4E" w:rsidR="0083562D" w:rsidRPr="00216AEC" w:rsidRDefault="0083562D" w:rsidP="0083562D">
      <w:pPr>
        <w:ind w:firstLine="708"/>
        <w:jc w:val="both"/>
        <w:rPr>
          <w:rFonts w:ascii="Times New Roman" w:hAnsi="Times New Roman" w:cs="Times New Roman"/>
        </w:rPr>
      </w:pPr>
      <w:r w:rsidRPr="00216AEC">
        <w:rPr>
          <w:rFonts w:ascii="Times New Roman" w:hAnsi="Times New Roman" w:cs="Times New Roman"/>
        </w:rPr>
        <w:t xml:space="preserve">Броя нови потребители за отчетната година по бизнес план е стопански – </w:t>
      </w:r>
      <w:r w:rsidR="00216AEC" w:rsidRPr="00216AEC">
        <w:rPr>
          <w:rFonts w:ascii="Times New Roman" w:hAnsi="Times New Roman" w:cs="Times New Roman"/>
        </w:rPr>
        <w:t>4</w:t>
      </w:r>
      <w:r w:rsidRPr="00216AEC">
        <w:rPr>
          <w:rFonts w:ascii="Times New Roman" w:hAnsi="Times New Roman" w:cs="Times New Roman"/>
        </w:rPr>
        <w:t xml:space="preserve"> брой, битови – </w:t>
      </w:r>
      <w:r w:rsidR="00216AEC" w:rsidRPr="00216AEC">
        <w:rPr>
          <w:rFonts w:ascii="Times New Roman" w:hAnsi="Times New Roman" w:cs="Times New Roman"/>
        </w:rPr>
        <w:t>20</w:t>
      </w:r>
      <w:r w:rsidRPr="00216AEC">
        <w:rPr>
          <w:rFonts w:ascii="Times New Roman" w:hAnsi="Times New Roman" w:cs="Times New Roman"/>
        </w:rPr>
        <w:t xml:space="preserve"> броя, отчетени за 20</w:t>
      </w:r>
      <w:r w:rsidR="00216AEC" w:rsidRPr="00216AEC">
        <w:rPr>
          <w:rFonts w:ascii="Times New Roman" w:hAnsi="Times New Roman" w:cs="Times New Roman"/>
        </w:rPr>
        <w:t>2</w:t>
      </w:r>
      <w:r w:rsidR="004D44EF">
        <w:rPr>
          <w:rFonts w:ascii="Times New Roman" w:hAnsi="Times New Roman" w:cs="Times New Roman"/>
        </w:rPr>
        <w:t>1</w:t>
      </w:r>
      <w:r w:rsidRPr="00216AEC">
        <w:rPr>
          <w:rFonts w:ascii="Times New Roman" w:hAnsi="Times New Roman" w:cs="Times New Roman"/>
        </w:rPr>
        <w:t xml:space="preserve"> год. стопански – </w:t>
      </w:r>
      <w:r w:rsidR="004D44EF">
        <w:rPr>
          <w:rFonts w:ascii="Times New Roman" w:hAnsi="Times New Roman" w:cs="Times New Roman"/>
        </w:rPr>
        <w:t>0</w:t>
      </w:r>
      <w:r w:rsidRPr="00216AEC">
        <w:rPr>
          <w:rFonts w:ascii="Times New Roman" w:hAnsi="Times New Roman" w:cs="Times New Roman"/>
        </w:rPr>
        <w:t xml:space="preserve"> броя, битови – </w:t>
      </w:r>
      <w:r w:rsidR="004D44EF">
        <w:rPr>
          <w:rFonts w:ascii="Times New Roman" w:hAnsi="Times New Roman" w:cs="Times New Roman"/>
        </w:rPr>
        <w:t>28</w:t>
      </w:r>
      <w:r w:rsidRPr="00216AEC">
        <w:rPr>
          <w:rFonts w:ascii="Times New Roman" w:hAnsi="Times New Roman" w:cs="Times New Roman"/>
        </w:rPr>
        <w:t xml:space="preserve"> броя.</w:t>
      </w:r>
    </w:p>
    <w:p w14:paraId="2DC19B8D" w14:textId="246405DD" w:rsidR="0083562D" w:rsidRPr="00C156B0" w:rsidRDefault="0030214F" w:rsidP="0083562D">
      <w:pPr>
        <w:pStyle w:val="ListParagraph"/>
        <w:ind w:left="1065"/>
        <w:jc w:val="both"/>
        <w:rPr>
          <w:rFonts w:ascii="Times New Roman" w:hAnsi="Times New Roman"/>
          <w:color w:val="FF0000"/>
          <w:sz w:val="24"/>
          <w:szCs w:val="24"/>
        </w:rPr>
      </w:pPr>
      <w:r w:rsidRPr="00C156B0">
        <w:rPr>
          <w:noProof/>
          <w:color w:val="FF0000"/>
          <w:lang w:eastAsia="bg-BG"/>
        </w:rPr>
        <w:lastRenderedPageBreak/>
        <w:drawing>
          <wp:inline distT="0" distB="0" distL="0" distR="0" wp14:anchorId="2232313A" wp14:editId="51FF05BA">
            <wp:extent cx="4572000" cy="2752725"/>
            <wp:effectExtent l="0" t="0" r="0" b="0"/>
            <wp:docPr id="21" name="Диагра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779395A" w14:textId="77777777" w:rsidR="0083562D" w:rsidRPr="00C156B0" w:rsidRDefault="0083562D" w:rsidP="0083562D">
      <w:pPr>
        <w:pStyle w:val="ListParagraph"/>
        <w:ind w:left="1065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14:paraId="009A1654" w14:textId="4CEE8552" w:rsidR="0083562D" w:rsidRPr="00BD2299" w:rsidRDefault="0083562D" w:rsidP="0083562D">
      <w:pPr>
        <w:ind w:firstLine="708"/>
        <w:jc w:val="both"/>
        <w:rPr>
          <w:rFonts w:ascii="Times New Roman" w:hAnsi="Times New Roman" w:cs="Times New Roman"/>
        </w:rPr>
      </w:pPr>
      <w:r w:rsidRPr="00BD2299">
        <w:rPr>
          <w:rFonts w:ascii="Times New Roman" w:hAnsi="Times New Roman" w:cs="Times New Roman"/>
        </w:rPr>
        <w:t xml:space="preserve">Разпределени и снабдени количества природен газ за отчетната година: по бизнес план за стопански са предвидени </w:t>
      </w:r>
      <w:r w:rsidR="004D44EF">
        <w:rPr>
          <w:rFonts w:ascii="Times New Roman" w:hAnsi="Times New Roman" w:cs="Times New Roman"/>
        </w:rPr>
        <w:t>8431</w:t>
      </w:r>
      <w:r w:rsidRPr="00BD2299">
        <w:rPr>
          <w:rFonts w:ascii="Times New Roman" w:hAnsi="Times New Roman" w:cs="Times New Roman"/>
        </w:rPr>
        <w:t xml:space="preserve"> </w:t>
      </w:r>
      <w:r w:rsidR="00202A36" w:rsidRPr="00BD2299">
        <w:rPr>
          <w:rFonts w:ascii="Times New Roman" w:hAnsi="Times New Roman" w:cs="Times New Roman"/>
          <w:lang w:val="en-US"/>
        </w:rPr>
        <w:t>MWh</w:t>
      </w:r>
      <w:r w:rsidRPr="00BD2299">
        <w:rPr>
          <w:rFonts w:ascii="Times New Roman" w:hAnsi="Times New Roman" w:cs="Times New Roman"/>
        </w:rPr>
        <w:t xml:space="preserve">, битови </w:t>
      </w:r>
      <w:r w:rsidR="004D44EF">
        <w:rPr>
          <w:rFonts w:ascii="Times New Roman" w:hAnsi="Times New Roman" w:cs="Times New Roman"/>
        </w:rPr>
        <w:t>3071</w:t>
      </w:r>
      <w:r w:rsidRPr="00BD2299">
        <w:rPr>
          <w:rFonts w:ascii="Times New Roman" w:hAnsi="Times New Roman" w:cs="Times New Roman"/>
        </w:rPr>
        <w:t xml:space="preserve"> </w:t>
      </w:r>
      <w:r w:rsidR="00202A36" w:rsidRPr="00BD2299">
        <w:rPr>
          <w:rFonts w:ascii="Times New Roman" w:hAnsi="Times New Roman" w:cs="Times New Roman"/>
          <w:lang w:val="en-US"/>
        </w:rPr>
        <w:t>MWh</w:t>
      </w:r>
      <w:r w:rsidRPr="00BD2299">
        <w:rPr>
          <w:rFonts w:ascii="Times New Roman" w:hAnsi="Times New Roman" w:cs="Times New Roman"/>
        </w:rPr>
        <w:t>. Отчетени за 20</w:t>
      </w:r>
      <w:r w:rsidR="00216AEC" w:rsidRPr="00BD2299">
        <w:rPr>
          <w:rFonts w:ascii="Times New Roman" w:hAnsi="Times New Roman" w:cs="Times New Roman"/>
        </w:rPr>
        <w:t>2</w:t>
      </w:r>
      <w:r w:rsidR="00C60319">
        <w:rPr>
          <w:rFonts w:ascii="Times New Roman" w:hAnsi="Times New Roman" w:cs="Times New Roman"/>
        </w:rPr>
        <w:t>1</w:t>
      </w:r>
      <w:r w:rsidRPr="00BD2299">
        <w:rPr>
          <w:rFonts w:ascii="Times New Roman" w:hAnsi="Times New Roman" w:cs="Times New Roman"/>
        </w:rPr>
        <w:t xml:space="preserve"> год. </w:t>
      </w:r>
      <w:r w:rsidR="00216AEC" w:rsidRPr="00BD2299">
        <w:rPr>
          <w:rFonts w:ascii="Times New Roman" w:hAnsi="Times New Roman" w:cs="Times New Roman"/>
        </w:rPr>
        <w:t xml:space="preserve">За </w:t>
      </w:r>
      <w:r w:rsidRPr="00BD2299">
        <w:rPr>
          <w:rFonts w:ascii="Times New Roman" w:hAnsi="Times New Roman" w:cs="Times New Roman"/>
        </w:rPr>
        <w:t>стопански</w:t>
      </w:r>
      <w:r w:rsidR="00216AEC" w:rsidRPr="00BD2299">
        <w:rPr>
          <w:rFonts w:ascii="Times New Roman" w:hAnsi="Times New Roman" w:cs="Times New Roman"/>
        </w:rPr>
        <w:t xml:space="preserve"> са</w:t>
      </w:r>
      <w:r w:rsidRPr="00BD2299">
        <w:rPr>
          <w:rFonts w:ascii="Times New Roman" w:hAnsi="Times New Roman" w:cs="Times New Roman"/>
        </w:rPr>
        <w:t xml:space="preserve"> </w:t>
      </w:r>
      <w:r w:rsidR="004D44EF">
        <w:rPr>
          <w:rFonts w:ascii="Times New Roman" w:hAnsi="Times New Roman" w:cs="Times New Roman"/>
        </w:rPr>
        <w:t>10636</w:t>
      </w:r>
      <w:r w:rsidRPr="00BD2299">
        <w:rPr>
          <w:rFonts w:ascii="Times New Roman" w:hAnsi="Times New Roman" w:cs="Times New Roman"/>
        </w:rPr>
        <w:t xml:space="preserve"> </w:t>
      </w:r>
      <w:r w:rsidR="00202A36" w:rsidRPr="00BD2299">
        <w:rPr>
          <w:rFonts w:ascii="Times New Roman" w:hAnsi="Times New Roman" w:cs="Times New Roman"/>
          <w:lang w:val="en-US"/>
        </w:rPr>
        <w:t>MWh</w:t>
      </w:r>
      <w:r w:rsidRPr="00BD2299">
        <w:rPr>
          <w:rFonts w:ascii="Times New Roman" w:hAnsi="Times New Roman" w:cs="Times New Roman"/>
        </w:rPr>
        <w:t xml:space="preserve">, </w:t>
      </w:r>
      <w:r w:rsidR="00BD2299" w:rsidRPr="00BD2299">
        <w:rPr>
          <w:rFonts w:ascii="Times New Roman" w:hAnsi="Times New Roman" w:cs="Times New Roman"/>
        </w:rPr>
        <w:t xml:space="preserve">за </w:t>
      </w:r>
      <w:r w:rsidRPr="00BD2299">
        <w:rPr>
          <w:rFonts w:ascii="Times New Roman" w:hAnsi="Times New Roman" w:cs="Times New Roman"/>
        </w:rPr>
        <w:t>битови</w:t>
      </w:r>
      <w:r w:rsidR="00BD2299" w:rsidRPr="00BD2299">
        <w:rPr>
          <w:rFonts w:ascii="Times New Roman" w:hAnsi="Times New Roman" w:cs="Times New Roman"/>
        </w:rPr>
        <w:t xml:space="preserve"> са</w:t>
      </w:r>
      <w:r w:rsidRPr="00BD2299">
        <w:rPr>
          <w:rFonts w:ascii="Times New Roman" w:hAnsi="Times New Roman" w:cs="Times New Roman"/>
        </w:rPr>
        <w:t xml:space="preserve"> </w:t>
      </w:r>
      <w:r w:rsidR="004D44EF">
        <w:rPr>
          <w:rFonts w:ascii="Times New Roman" w:hAnsi="Times New Roman" w:cs="Times New Roman"/>
        </w:rPr>
        <w:t>2853</w:t>
      </w:r>
      <w:r w:rsidR="00202A36" w:rsidRPr="00BD2299">
        <w:rPr>
          <w:rFonts w:ascii="Times New Roman" w:hAnsi="Times New Roman" w:cs="Times New Roman"/>
          <w:lang w:val="en-US"/>
        </w:rPr>
        <w:t xml:space="preserve"> MWh</w:t>
      </w:r>
      <w:r w:rsidRPr="00BD2299">
        <w:rPr>
          <w:rFonts w:ascii="Times New Roman" w:hAnsi="Times New Roman" w:cs="Times New Roman"/>
        </w:rPr>
        <w:t>. Прогнозната консумация на природен газ за 20</w:t>
      </w:r>
      <w:r w:rsidR="00216AEC" w:rsidRPr="00BD2299">
        <w:rPr>
          <w:rFonts w:ascii="Times New Roman" w:hAnsi="Times New Roman" w:cs="Times New Roman"/>
        </w:rPr>
        <w:t>2</w:t>
      </w:r>
      <w:r w:rsidR="00C60319">
        <w:rPr>
          <w:rFonts w:ascii="Times New Roman" w:hAnsi="Times New Roman" w:cs="Times New Roman"/>
        </w:rPr>
        <w:t>1</w:t>
      </w:r>
      <w:r w:rsidRPr="00BD2299">
        <w:rPr>
          <w:rFonts w:ascii="Times New Roman" w:hAnsi="Times New Roman" w:cs="Times New Roman"/>
        </w:rPr>
        <w:t xml:space="preserve"> г. е </w:t>
      </w:r>
      <w:r w:rsidR="00BD2299" w:rsidRPr="00BD2299">
        <w:rPr>
          <w:rFonts w:ascii="Times New Roman" w:hAnsi="Times New Roman" w:cs="Times New Roman"/>
        </w:rPr>
        <w:t>надвишена</w:t>
      </w:r>
      <w:r w:rsidR="00216AEC" w:rsidRPr="00BD2299">
        <w:rPr>
          <w:rFonts w:ascii="Times New Roman" w:hAnsi="Times New Roman" w:cs="Times New Roman"/>
        </w:rPr>
        <w:t xml:space="preserve"> за стопанските потребители</w:t>
      </w:r>
      <w:r w:rsidRPr="00BD2299">
        <w:rPr>
          <w:rFonts w:ascii="Times New Roman" w:hAnsi="Times New Roman" w:cs="Times New Roman"/>
        </w:rPr>
        <w:t xml:space="preserve"> на природен газ, </w:t>
      </w:r>
      <w:r w:rsidR="00216AEC" w:rsidRPr="00BD2299">
        <w:rPr>
          <w:rFonts w:ascii="Times New Roman" w:hAnsi="Times New Roman" w:cs="Times New Roman"/>
        </w:rPr>
        <w:t>а за</w:t>
      </w:r>
      <w:r w:rsidRPr="00BD2299">
        <w:rPr>
          <w:rFonts w:ascii="Times New Roman" w:hAnsi="Times New Roman" w:cs="Times New Roman"/>
        </w:rPr>
        <w:t xml:space="preserve"> битовите </w:t>
      </w:r>
      <w:r w:rsidR="00216AEC" w:rsidRPr="00BD2299">
        <w:rPr>
          <w:rFonts w:ascii="Times New Roman" w:hAnsi="Times New Roman" w:cs="Times New Roman"/>
        </w:rPr>
        <w:t>е под прогнозните количества</w:t>
      </w:r>
      <w:r w:rsidRPr="00BD2299">
        <w:rPr>
          <w:rFonts w:ascii="Times New Roman" w:hAnsi="Times New Roman" w:cs="Times New Roman"/>
        </w:rPr>
        <w:t>.</w:t>
      </w: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2939"/>
        <w:gridCol w:w="2800"/>
      </w:tblGrid>
      <w:tr w:rsidR="00BD2299" w:rsidRPr="00BD2299" w14:paraId="65DA8A11" w14:textId="77777777" w:rsidTr="00202A36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45E5" w14:textId="77777777" w:rsidR="0083562D" w:rsidRPr="00BD2299" w:rsidRDefault="0083562D" w:rsidP="001F6A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D2299">
              <w:rPr>
                <w:rFonts w:ascii="Times New Roman" w:hAnsi="Times New Roman" w:cs="Times New Roman"/>
                <w:b/>
                <w:bCs/>
              </w:rPr>
              <w:t>ГРУПИ ПОТРЕБИТЕЛИ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3091" w14:textId="356F1203" w:rsidR="0083562D" w:rsidRPr="00BD2299" w:rsidRDefault="0083562D" w:rsidP="00202A36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D2299">
              <w:rPr>
                <w:rFonts w:ascii="Times New Roman" w:hAnsi="Times New Roman" w:cs="Times New Roman"/>
                <w:b/>
                <w:bCs/>
              </w:rPr>
              <w:t>Прогнозна 20</w:t>
            </w:r>
            <w:r w:rsidR="00BD2299" w:rsidRPr="00BD2299">
              <w:rPr>
                <w:rFonts w:ascii="Times New Roman" w:hAnsi="Times New Roman" w:cs="Times New Roman"/>
                <w:b/>
                <w:bCs/>
              </w:rPr>
              <w:t>2</w:t>
            </w:r>
            <w:r w:rsidR="004D44EF">
              <w:rPr>
                <w:rFonts w:ascii="Times New Roman" w:hAnsi="Times New Roman" w:cs="Times New Roman"/>
                <w:b/>
                <w:bCs/>
              </w:rPr>
              <w:t>1</w:t>
            </w:r>
            <w:r w:rsidRPr="00BD2299">
              <w:rPr>
                <w:rFonts w:ascii="Times New Roman" w:hAnsi="Times New Roman" w:cs="Times New Roman"/>
                <w:b/>
                <w:bCs/>
              </w:rPr>
              <w:t xml:space="preserve"> г., </w:t>
            </w:r>
            <w:r w:rsidR="00202A36" w:rsidRPr="00BD2299">
              <w:rPr>
                <w:rFonts w:ascii="Times New Roman" w:hAnsi="Times New Roman" w:cs="Times New Roman"/>
                <w:b/>
                <w:bCs/>
                <w:lang w:val="en-US"/>
              </w:rPr>
              <w:t>MWh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0FDD" w14:textId="490BCE4F" w:rsidR="0083562D" w:rsidRPr="00BD2299" w:rsidRDefault="0083562D" w:rsidP="00202A36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D2299">
              <w:rPr>
                <w:rFonts w:ascii="Times New Roman" w:hAnsi="Times New Roman" w:cs="Times New Roman"/>
                <w:b/>
                <w:bCs/>
              </w:rPr>
              <w:t>Отчетено 20</w:t>
            </w:r>
            <w:r w:rsidR="00BD2299" w:rsidRPr="00BD2299">
              <w:rPr>
                <w:rFonts w:ascii="Times New Roman" w:hAnsi="Times New Roman" w:cs="Times New Roman"/>
                <w:b/>
                <w:bCs/>
              </w:rPr>
              <w:t>2</w:t>
            </w:r>
            <w:r w:rsidR="004D44EF">
              <w:rPr>
                <w:rFonts w:ascii="Times New Roman" w:hAnsi="Times New Roman" w:cs="Times New Roman"/>
                <w:b/>
                <w:bCs/>
              </w:rPr>
              <w:t>1</w:t>
            </w:r>
            <w:r w:rsidRPr="00BD2299">
              <w:rPr>
                <w:rFonts w:ascii="Times New Roman" w:hAnsi="Times New Roman" w:cs="Times New Roman"/>
                <w:b/>
                <w:bCs/>
              </w:rPr>
              <w:t xml:space="preserve"> г.  </w:t>
            </w:r>
            <w:r w:rsidR="00202A36" w:rsidRPr="00BD2299">
              <w:rPr>
                <w:rFonts w:ascii="Times New Roman" w:hAnsi="Times New Roman" w:cs="Times New Roman"/>
                <w:b/>
                <w:bCs/>
                <w:lang w:val="en-US"/>
              </w:rPr>
              <w:t>MWh</w:t>
            </w:r>
          </w:p>
        </w:tc>
      </w:tr>
      <w:tr w:rsidR="00BD2299" w:rsidRPr="00BD2299" w14:paraId="4E3B1738" w14:textId="77777777" w:rsidTr="00202A36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A6E4" w14:textId="77777777" w:rsidR="0083562D" w:rsidRPr="00BD2299" w:rsidRDefault="0083562D" w:rsidP="001F6A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D2299">
              <w:rPr>
                <w:rFonts w:ascii="Times New Roman" w:hAnsi="Times New Roman" w:cs="Times New Roman"/>
                <w:b/>
                <w:bCs/>
              </w:rPr>
              <w:t>Промишлени потребители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21DD9" w14:textId="156AE2C4" w:rsidR="004D44EF" w:rsidRPr="00BD2299" w:rsidRDefault="004D44EF" w:rsidP="001F6A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FB6F8" w14:textId="54C26915" w:rsidR="0083562D" w:rsidRPr="00BD2299" w:rsidRDefault="004D44EF" w:rsidP="001F6A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10636</w:t>
            </w:r>
          </w:p>
        </w:tc>
      </w:tr>
      <w:tr w:rsidR="00BD2299" w:rsidRPr="00BD2299" w14:paraId="270F66A5" w14:textId="77777777" w:rsidTr="00202A36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83A6" w14:textId="77777777" w:rsidR="0083562D" w:rsidRPr="00BD2299" w:rsidRDefault="0083562D" w:rsidP="001F6A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D2299">
              <w:rPr>
                <w:rFonts w:ascii="Times New Roman" w:hAnsi="Times New Roman" w:cs="Times New Roman"/>
                <w:b/>
                <w:bCs/>
              </w:rPr>
              <w:t>Битови потребители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F3280" w14:textId="32FE7FA8" w:rsidR="0083562D" w:rsidRPr="00BD2299" w:rsidRDefault="004D44EF" w:rsidP="001F6A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11F02" w14:textId="34FC280A" w:rsidR="004D44EF" w:rsidRPr="00BD2299" w:rsidRDefault="004D44EF" w:rsidP="004D44E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2853</w:t>
            </w:r>
          </w:p>
        </w:tc>
      </w:tr>
    </w:tbl>
    <w:p w14:paraId="14E19665" w14:textId="77777777" w:rsidR="0083562D" w:rsidRPr="00C156B0" w:rsidRDefault="0083562D" w:rsidP="0083562D">
      <w:pPr>
        <w:pStyle w:val="ListParagraph"/>
        <w:ind w:left="0"/>
        <w:jc w:val="both"/>
        <w:rPr>
          <w:noProof/>
          <w:color w:val="FF0000"/>
          <w:lang w:eastAsia="bg-BG"/>
        </w:rPr>
      </w:pPr>
    </w:p>
    <w:p w14:paraId="2D535AFD" w14:textId="4331877C" w:rsidR="0083562D" w:rsidRPr="00C156B0" w:rsidRDefault="0030214F" w:rsidP="0083562D">
      <w:pPr>
        <w:pStyle w:val="ListParagraph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C156B0">
        <w:rPr>
          <w:noProof/>
          <w:color w:val="FF0000"/>
          <w:lang w:eastAsia="bg-BG"/>
        </w:rPr>
        <w:drawing>
          <wp:inline distT="0" distB="0" distL="0" distR="0" wp14:anchorId="51BCF950" wp14:editId="318B9FA9">
            <wp:extent cx="3886200" cy="3076575"/>
            <wp:effectExtent l="0" t="0" r="0" b="0"/>
            <wp:docPr id="24" name="Диагра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1D65B86" w14:textId="77777777" w:rsidR="0083562D" w:rsidRPr="00C156B0" w:rsidRDefault="0083562D" w:rsidP="0083562D">
      <w:pPr>
        <w:pStyle w:val="ListParagraph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78205B0" w14:textId="533ED9BF" w:rsidR="0083562D" w:rsidRPr="00BD2299" w:rsidRDefault="0083562D" w:rsidP="0083562D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C156B0">
        <w:rPr>
          <w:rFonts w:ascii="Times New Roman" w:hAnsi="Times New Roman"/>
          <w:color w:val="FF0000"/>
          <w:sz w:val="24"/>
          <w:szCs w:val="24"/>
        </w:rPr>
        <w:tab/>
      </w:r>
      <w:r w:rsidRPr="00BD2299">
        <w:rPr>
          <w:rFonts w:ascii="Times New Roman" w:hAnsi="Times New Roman"/>
          <w:sz w:val="24"/>
          <w:szCs w:val="24"/>
        </w:rPr>
        <w:t>През 20</w:t>
      </w:r>
      <w:r w:rsidR="00BD2299" w:rsidRPr="00BD2299">
        <w:rPr>
          <w:rFonts w:ascii="Times New Roman" w:hAnsi="Times New Roman"/>
          <w:sz w:val="24"/>
          <w:szCs w:val="24"/>
        </w:rPr>
        <w:t>2</w:t>
      </w:r>
      <w:r w:rsidR="00ED15A6">
        <w:rPr>
          <w:rFonts w:ascii="Times New Roman" w:hAnsi="Times New Roman"/>
          <w:sz w:val="24"/>
          <w:szCs w:val="24"/>
        </w:rPr>
        <w:t>1</w:t>
      </w:r>
      <w:r w:rsidR="006A03E5" w:rsidRPr="00BD229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2299">
        <w:rPr>
          <w:rFonts w:ascii="Times New Roman" w:hAnsi="Times New Roman"/>
          <w:sz w:val="24"/>
          <w:szCs w:val="24"/>
        </w:rPr>
        <w:t>г. „Кнежа Газ“ ООД са предвидени инвестиции в ГРМ на територията на гр. Кнежа и съоръженията към тях. Размерът на  извършените инвестиционни разходи е съобразен с изградената към момента газоразпределителна мрежа, с финансовите възможности и с инвестиционната програмата одобрена от КЕВР.</w:t>
      </w:r>
    </w:p>
    <w:p w14:paraId="5E45A5E3" w14:textId="77777777" w:rsidR="00F60884" w:rsidRPr="00CA4032" w:rsidRDefault="00F60884" w:rsidP="0083562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14:paraId="0DBA6394" w14:textId="411BCD1D" w:rsidR="0083562D" w:rsidRPr="00CA4032" w:rsidRDefault="00CA4032" w:rsidP="0083562D">
      <w:pPr>
        <w:ind w:firstLine="708"/>
        <w:jc w:val="both"/>
        <w:rPr>
          <w:rFonts w:ascii="Times New Roman" w:hAnsi="Times New Roman" w:cs="Times New Roman"/>
        </w:rPr>
      </w:pPr>
      <w:r w:rsidRPr="00CA4032">
        <w:rPr>
          <w:rFonts w:ascii="Times New Roman" w:hAnsi="Times New Roman" w:cs="Times New Roman"/>
        </w:rPr>
        <w:t>При изготвяне на отчета за изпълнение на плана за оптимизиране на разходите на „Кнежа газ“ ООД, не са констатирани нецелесъобразни и неефективни разходи.</w:t>
      </w:r>
    </w:p>
    <w:p w14:paraId="428AD6BE" w14:textId="77777777" w:rsidR="0083562D" w:rsidRPr="00CA4032" w:rsidRDefault="0083562D" w:rsidP="0083562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</w:rPr>
      </w:pPr>
    </w:p>
    <w:p w14:paraId="1A44BBEB" w14:textId="30F9DA3F" w:rsidR="00C57FEF" w:rsidRPr="00CA4032" w:rsidRDefault="00C57FEF" w:rsidP="00C57FEF">
      <w:pPr>
        <w:tabs>
          <w:tab w:val="left" w:pos="5430"/>
        </w:tabs>
        <w:jc w:val="both"/>
        <w:rPr>
          <w:rFonts w:ascii="Times New Roman" w:hAnsi="Times New Roman" w:cs="Times New Roman"/>
        </w:rPr>
      </w:pPr>
    </w:p>
    <w:p w14:paraId="59E9EE4D" w14:textId="77777777" w:rsidR="00C57FEF" w:rsidRPr="00CA4032" w:rsidRDefault="00C57FEF" w:rsidP="00C57FEF">
      <w:pPr>
        <w:tabs>
          <w:tab w:val="left" w:pos="5430"/>
        </w:tabs>
        <w:jc w:val="both"/>
        <w:rPr>
          <w:rFonts w:ascii="Times New Roman" w:hAnsi="Times New Roman" w:cs="Times New Roman"/>
        </w:rPr>
      </w:pPr>
    </w:p>
    <w:p w14:paraId="7E67E832" w14:textId="77777777" w:rsidR="00FC2620" w:rsidRPr="00CA4032" w:rsidRDefault="00C57FEF" w:rsidP="00C57FEF">
      <w:pPr>
        <w:tabs>
          <w:tab w:val="left" w:pos="5430"/>
        </w:tabs>
        <w:jc w:val="both"/>
        <w:rPr>
          <w:rFonts w:ascii="Times New Roman" w:hAnsi="Times New Roman" w:cs="Times New Roman"/>
        </w:rPr>
      </w:pPr>
      <w:r w:rsidRPr="00CA4032">
        <w:rPr>
          <w:rFonts w:ascii="Times New Roman" w:hAnsi="Times New Roman" w:cs="Times New Roman"/>
        </w:rPr>
        <w:t>гр. Кнежа</w:t>
      </w:r>
      <w:r w:rsidRPr="00CA4032">
        <w:rPr>
          <w:rFonts w:ascii="Times New Roman" w:hAnsi="Times New Roman" w:cs="Times New Roman"/>
        </w:rPr>
        <w:tab/>
      </w:r>
      <w:r w:rsidRPr="00CA4032">
        <w:rPr>
          <w:rFonts w:ascii="Times New Roman" w:hAnsi="Times New Roman" w:cs="Times New Roman"/>
        </w:rPr>
        <w:tab/>
      </w:r>
      <w:r w:rsidR="00FC2620" w:rsidRPr="00CA4032">
        <w:rPr>
          <w:rFonts w:ascii="Times New Roman" w:hAnsi="Times New Roman" w:cs="Times New Roman"/>
        </w:rPr>
        <w:t>Управител:……………</w:t>
      </w:r>
      <w:r w:rsidRPr="00CA4032">
        <w:rPr>
          <w:rFonts w:ascii="Times New Roman" w:hAnsi="Times New Roman" w:cs="Times New Roman"/>
        </w:rPr>
        <w:t>…………</w:t>
      </w:r>
    </w:p>
    <w:p w14:paraId="7343B967" w14:textId="01ECDFB6" w:rsidR="00D303CE" w:rsidRPr="00CA4032" w:rsidRDefault="0080066C" w:rsidP="00C57FEF">
      <w:pPr>
        <w:jc w:val="both"/>
        <w:rPr>
          <w:rFonts w:ascii="Times New Roman" w:hAnsi="Times New Roman" w:cs="Times New Roman"/>
        </w:rPr>
      </w:pPr>
      <w:r w:rsidRPr="0080066C">
        <w:rPr>
          <w:rFonts w:ascii="Times New Roman" w:hAnsi="Times New Roman" w:cs="Times New Roman"/>
        </w:rPr>
        <w:t>12</w:t>
      </w:r>
      <w:r w:rsidR="0083562D" w:rsidRPr="0080066C">
        <w:rPr>
          <w:rFonts w:ascii="Times New Roman" w:hAnsi="Times New Roman" w:cs="Times New Roman"/>
        </w:rPr>
        <w:t>.0</w:t>
      </w:r>
      <w:r w:rsidR="0083562D" w:rsidRPr="0080066C">
        <w:rPr>
          <w:rFonts w:ascii="Times New Roman" w:hAnsi="Times New Roman" w:cs="Times New Roman"/>
          <w:lang w:val="en-US"/>
        </w:rPr>
        <w:t>7</w:t>
      </w:r>
      <w:r w:rsidR="00C56521" w:rsidRPr="0080066C">
        <w:rPr>
          <w:rFonts w:ascii="Times New Roman" w:hAnsi="Times New Roman" w:cs="Times New Roman"/>
        </w:rPr>
        <w:t>.20</w:t>
      </w:r>
      <w:r w:rsidR="005938AB" w:rsidRPr="0080066C">
        <w:rPr>
          <w:rFonts w:ascii="Times New Roman" w:hAnsi="Times New Roman" w:cs="Times New Roman"/>
        </w:rPr>
        <w:t>2</w:t>
      </w:r>
      <w:r w:rsidR="00ED15A6" w:rsidRPr="0080066C">
        <w:rPr>
          <w:rFonts w:ascii="Times New Roman" w:hAnsi="Times New Roman" w:cs="Times New Roman"/>
        </w:rPr>
        <w:t>2</w:t>
      </w:r>
      <w:r w:rsidR="00FC2620" w:rsidRPr="00CA4032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C57FEF" w:rsidRPr="00CA4032">
        <w:rPr>
          <w:rFonts w:ascii="Times New Roman" w:hAnsi="Times New Roman" w:cs="Times New Roman"/>
        </w:rPr>
        <w:tab/>
      </w:r>
      <w:r w:rsidR="00C57FEF" w:rsidRPr="00CA4032">
        <w:rPr>
          <w:rFonts w:ascii="Times New Roman" w:hAnsi="Times New Roman" w:cs="Times New Roman"/>
        </w:rPr>
        <w:tab/>
      </w:r>
      <w:r w:rsidR="00FC2620" w:rsidRPr="00CA4032">
        <w:rPr>
          <w:rFonts w:ascii="Times New Roman" w:hAnsi="Times New Roman" w:cs="Times New Roman"/>
        </w:rPr>
        <w:t>/</w:t>
      </w:r>
      <w:r w:rsidR="007D0C3A" w:rsidRPr="00CA4032">
        <w:rPr>
          <w:rFonts w:ascii="Times New Roman" w:hAnsi="Times New Roman" w:cs="Times New Roman"/>
        </w:rPr>
        <w:t>Лъчезар Петров/</w:t>
      </w:r>
    </w:p>
    <w:p w14:paraId="082C8C59" w14:textId="77777777" w:rsidR="00FC2620" w:rsidRPr="00CA4032" w:rsidRDefault="00FC2620" w:rsidP="009D50EA">
      <w:pPr>
        <w:rPr>
          <w:rFonts w:ascii="Times New Roman" w:hAnsi="Times New Roman" w:cs="Times New Roman"/>
        </w:rPr>
      </w:pPr>
    </w:p>
    <w:p w14:paraId="3010E369" w14:textId="77777777" w:rsidR="00D303CE" w:rsidRPr="00C156B0" w:rsidRDefault="00D303CE" w:rsidP="009D50EA">
      <w:pPr>
        <w:rPr>
          <w:rFonts w:ascii="Times New Roman" w:hAnsi="Times New Roman" w:cs="Times New Roman"/>
          <w:color w:val="FF0000"/>
        </w:rPr>
      </w:pPr>
    </w:p>
    <w:sectPr w:rsidR="00D303CE" w:rsidRPr="00C156B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D960C" w14:textId="77777777" w:rsidR="00313643" w:rsidRDefault="00313643" w:rsidP="00674B2E">
      <w:r>
        <w:separator/>
      </w:r>
    </w:p>
  </w:endnote>
  <w:endnote w:type="continuationSeparator" w:id="0">
    <w:p w14:paraId="58B7F403" w14:textId="77777777" w:rsidR="00313643" w:rsidRDefault="00313643" w:rsidP="0067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984A" w14:textId="731B3188" w:rsidR="0083562D" w:rsidRDefault="0083562D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30214F">
      <w:rPr>
        <w:noProof/>
      </w:rPr>
      <w:t>4</w:t>
    </w:r>
    <w:r>
      <w:fldChar w:fldCharType="end"/>
    </w:r>
  </w:p>
  <w:p w14:paraId="466927BF" w14:textId="77777777" w:rsidR="0083562D" w:rsidRDefault="008356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BAD0" w14:textId="77777777" w:rsidR="00313643" w:rsidRDefault="00313643" w:rsidP="00674B2E">
      <w:r>
        <w:separator/>
      </w:r>
    </w:p>
  </w:footnote>
  <w:footnote w:type="continuationSeparator" w:id="0">
    <w:p w14:paraId="51A914E7" w14:textId="77777777" w:rsidR="00313643" w:rsidRDefault="00313643" w:rsidP="00674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494D" w14:textId="1A70ED3F" w:rsidR="00674B2E" w:rsidRPr="00F603B0" w:rsidRDefault="0080066C" w:rsidP="0080066C">
    <w:pPr>
      <w:rPr>
        <w:rFonts w:ascii="Times New Roman" w:hAnsi="Times New Roman" w:cs="Times New Roman"/>
        <w:b/>
        <w:sz w:val="28"/>
        <w:szCs w:val="28"/>
      </w:rPr>
    </w:pPr>
    <w:r>
      <w:rPr>
        <w:noProof/>
      </w:rPr>
      <w:drawing>
        <wp:inline distT="0" distB="0" distL="0" distR="0" wp14:anchorId="7D402EF9" wp14:editId="3E88FE28">
          <wp:extent cx="785574" cy="44346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757" cy="447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603B0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 w:rsidR="00674B2E" w:rsidRPr="00F603B0">
      <w:rPr>
        <w:rFonts w:ascii="Times New Roman" w:hAnsi="Times New Roman" w:cs="Times New Roman"/>
        <w:b/>
      </w:rPr>
      <w:t>„</w:t>
    </w:r>
    <w:r w:rsidR="00F603B0">
      <w:rPr>
        <w:rFonts w:ascii="Times New Roman" w:hAnsi="Times New Roman" w:cs="Times New Roman"/>
        <w:b/>
        <w:sz w:val="28"/>
        <w:szCs w:val="28"/>
      </w:rPr>
      <w:t>КНЕЖА-</w:t>
    </w:r>
    <w:r w:rsidR="00674B2E" w:rsidRPr="00F603B0">
      <w:rPr>
        <w:rFonts w:ascii="Times New Roman" w:hAnsi="Times New Roman" w:cs="Times New Roman"/>
        <w:b/>
        <w:sz w:val="28"/>
        <w:szCs w:val="28"/>
      </w:rPr>
      <w:t>ГАЗ”</w:t>
    </w:r>
    <w:r w:rsidR="00F603B0">
      <w:rPr>
        <w:rFonts w:ascii="Times New Roman" w:hAnsi="Times New Roman" w:cs="Times New Roman"/>
        <w:b/>
        <w:sz w:val="28"/>
        <w:szCs w:val="28"/>
      </w:rPr>
      <w:t xml:space="preserve"> </w:t>
    </w:r>
    <w:r w:rsidR="00674B2E" w:rsidRPr="00F603B0">
      <w:rPr>
        <w:rFonts w:ascii="Times New Roman" w:hAnsi="Times New Roman" w:cs="Times New Roman"/>
        <w:b/>
        <w:sz w:val="28"/>
        <w:szCs w:val="28"/>
      </w:rPr>
      <w:t>ООД</w:t>
    </w:r>
  </w:p>
  <w:p w14:paraId="10F4B869" w14:textId="66195E9C" w:rsidR="00F603B0" w:rsidRDefault="0030214F" w:rsidP="00F603B0">
    <w:pPr>
      <w:tabs>
        <w:tab w:val="left" w:pos="5565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A67C93" wp14:editId="0473B5FD">
              <wp:simplePos x="0" y="0"/>
              <wp:positionH relativeFrom="margin">
                <wp:posOffset>-480695</wp:posOffset>
              </wp:positionH>
              <wp:positionV relativeFrom="margin">
                <wp:posOffset>-357505</wp:posOffset>
              </wp:positionV>
              <wp:extent cx="6677025" cy="0"/>
              <wp:effectExtent l="14605" t="13970" r="13970" b="14605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7702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C087F3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37.85pt,-28.15pt" to="487.9pt,-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" strokeweight="2pt">
              <v:stroke startarrowwidth="narrow" startarrowlength="short" endarrowwidth="narrow" endarrowlength="short"/>
              <w10:wrap anchorx="margin" anchory="margin"/>
            </v:line>
          </w:pict>
        </mc:Fallback>
      </mc:AlternateContent>
    </w:r>
    <w:r w:rsidR="00F603B0">
      <w:rPr>
        <w:rFonts w:ascii="Times New Roman" w:hAnsi="Times New Roman" w:cs="Times New Roman"/>
        <w:sz w:val="28"/>
        <w:szCs w:val="28"/>
      </w:rPr>
      <w:tab/>
    </w:r>
  </w:p>
  <w:p w14:paraId="175358C8" w14:textId="77777777" w:rsidR="00674B2E" w:rsidRPr="00F603B0" w:rsidRDefault="00674B2E" w:rsidP="00674B2E">
    <w:pPr>
      <w:jc w:val="center"/>
      <w:rPr>
        <w:rFonts w:ascii="Times New Roman" w:hAnsi="Times New Roman" w:cs="Times New Roman"/>
        <w:b/>
        <w:sz w:val="22"/>
        <w:lang w:val="en-US"/>
      </w:rPr>
    </w:pPr>
    <w:proofErr w:type="spellStart"/>
    <w:r w:rsidRPr="00F603B0">
      <w:rPr>
        <w:rFonts w:ascii="Times New Roman" w:hAnsi="Times New Roman" w:cs="Times New Roman"/>
        <w:b/>
        <w:sz w:val="22"/>
      </w:rPr>
      <w:t>гр.Кнежа</w:t>
    </w:r>
    <w:proofErr w:type="spellEnd"/>
    <w:r w:rsidRPr="00F603B0">
      <w:rPr>
        <w:rFonts w:ascii="Times New Roman" w:hAnsi="Times New Roman" w:cs="Times New Roman"/>
        <w:b/>
        <w:sz w:val="22"/>
      </w:rPr>
      <w:t xml:space="preserve">, обл. Плевен, </w:t>
    </w:r>
    <w:proofErr w:type="spellStart"/>
    <w:r w:rsidRPr="00F603B0">
      <w:rPr>
        <w:rFonts w:ascii="Times New Roman" w:hAnsi="Times New Roman" w:cs="Times New Roman"/>
        <w:b/>
        <w:sz w:val="22"/>
      </w:rPr>
      <w:t>ул</w:t>
    </w:r>
    <w:proofErr w:type="spellEnd"/>
    <w:r w:rsidRPr="00F603B0">
      <w:rPr>
        <w:rFonts w:ascii="Times New Roman" w:hAnsi="Times New Roman" w:cs="Times New Roman"/>
        <w:b/>
        <w:sz w:val="22"/>
      </w:rPr>
      <w:t>.”Марин Боев”№73</w:t>
    </w:r>
    <w:r w:rsidR="00F603B0" w:rsidRPr="00F603B0">
      <w:rPr>
        <w:rFonts w:ascii="Times New Roman" w:hAnsi="Times New Roman" w:cs="Times New Roman"/>
        <w:b/>
        <w:sz w:val="22"/>
      </w:rPr>
      <w:t xml:space="preserve"> </w:t>
    </w:r>
    <w:r w:rsidRPr="00F603B0">
      <w:rPr>
        <w:rFonts w:ascii="Times New Roman" w:hAnsi="Times New Roman" w:cs="Times New Roman"/>
        <w:b/>
        <w:sz w:val="22"/>
      </w:rPr>
      <w:t xml:space="preserve">тел:09132/63 63, </w:t>
    </w:r>
    <w:r w:rsidRPr="00F603B0">
      <w:rPr>
        <w:rFonts w:ascii="Times New Roman" w:hAnsi="Times New Roman" w:cs="Times New Roman"/>
        <w:b/>
        <w:sz w:val="22"/>
        <w:lang w:val="en-US"/>
      </w:rPr>
      <w:t>e-mail</w:t>
    </w:r>
    <w:r w:rsidRPr="00F603B0">
      <w:rPr>
        <w:rFonts w:ascii="Times New Roman" w:hAnsi="Times New Roman" w:cs="Times New Roman"/>
        <w:b/>
        <w:sz w:val="22"/>
      </w:rPr>
      <w:t xml:space="preserve">: </w:t>
    </w:r>
    <w:r w:rsidRPr="00F603B0">
      <w:rPr>
        <w:rFonts w:ascii="Times New Roman" w:hAnsi="Times New Roman" w:cs="Times New Roman"/>
        <w:b/>
        <w:sz w:val="22"/>
        <w:lang w:val="en-US"/>
      </w:rPr>
      <w:t>knezha_gaz@abv.bg</w:t>
    </w:r>
  </w:p>
  <w:p w14:paraId="7381B2D1" w14:textId="77777777" w:rsidR="00674B2E" w:rsidRDefault="00674B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36646"/>
    <w:multiLevelType w:val="hybridMultilevel"/>
    <w:tmpl w:val="AD04025C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44AB7"/>
    <w:multiLevelType w:val="hybridMultilevel"/>
    <w:tmpl w:val="03F62D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C5CFE"/>
    <w:multiLevelType w:val="hybridMultilevel"/>
    <w:tmpl w:val="5EAA20C0"/>
    <w:lvl w:ilvl="0" w:tplc="268879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B751274"/>
    <w:multiLevelType w:val="hybridMultilevel"/>
    <w:tmpl w:val="35C64162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22930802">
    <w:abstractNumId w:val="1"/>
  </w:num>
  <w:num w:numId="2" w16cid:durableId="310837286">
    <w:abstractNumId w:val="0"/>
  </w:num>
  <w:num w:numId="3" w16cid:durableId="1139686224">
    <w:abstractNumId w:val="2"/>
  </w:num>
  <w:num w:numId="4" w16cid:durableId="1169103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E5"/>
    <w:rsid w:val="00017AE3"/>
    <w:rsid w:val="000377C3"/>
    <w:rsid w:val="00044C44"/>
    <w:rsid w:val="00091CB6"/>
    <w:rsid w:val="00093ADE"/>
    <w:rsid w:val="000D5944"/>
    <w:rsid w:val="000F4A7D"/>
    <w:rsid w:val="000F77DE"/>
    <w:rsid w:val="00115DD4"/>
    <w:rsid w:val="0016164D"/>
    <w:rsid w:val="00175261"/>
    <w:rsid w:val="001975AB"/>
    <w:rsid w:val="001B217B"/>
    <w:rsid w:val="001D6829"/>
    <w:rsid w:val="001E7C5E"/>
    <w:rsid w:val="001F6A73"/>
    <w:rsid w:val="00202A36"/>
    <w:rsid w:val="0020358F"/>
    <w:rsid w:val="00216AEC"/>
    <w:rsid w:val="00232DB4"/>
    <w:rsid w:val="00245447"/>
    <w:rsid w:val="002856F7"/>
    <w:rsid w:val="00294009"/>
    <w:rsid w:val="002A4A77"/>
    <w:rsid w:val="002A5F55"/>
    <w:rsid w:val="002C05A8"/>
    <w:rsid w:val="002C0B68"/>
    <w:rsid w:val="0030214F"/>
    <w:rsid w:val="00313643"/>
    <w:rsid w:val="00315F0B"/>
    <w:rsid w:val="00327F20"/>
    <w:rsid w:val="003524ED"/>
    <w:rsid w:val="00364981"/>
    <w:rsid w:val="003A50F9"/>
    <w:rsid w:val="003D7650"/>
    <w:rsid w:val="003F10C7"/>
    <w:rsid w:val="003F3CF8"/>
    <w:rsid w:val="004217E4"/>
    <w:rsid w:val="00423F87"/>
    <w:rsid w:val="00424265"/>
    <w:rsid w:val="004272EE"/>
    <w:rsid w:val="00434E45"/>
    <w:rsid w:val="0044061B"/>
    <w:rsid w:val="00470B78"/>
    <w:rsid w:val="004775D8"/>
    <w:rsid w:val="00497BD4"/>
    <w:rsid w:val="004A663D"/>
    <w:rsid w:val="004B18E6"/>
    <w:rsid w:val="004D44EF"/>
    <w:rsid w:val="004F2746"/>
    <w:rsid w:val="00510515"/>
    <w:rsid w:val="005545AC"/>
    <w:rsid w:val="00564113"/>
    <w:rsid w:val="005938AB"/>
    <w:rsid w:val="005B313F"/>
    <w:rsid w:val="005B46B7"/>
    <w:rsid w:val="005D3178"/>
    <w:rsid w:val="005E39F5"/>
    <w:rsid w:val="00644AA4"/>
    <w:rsid w:val="00664206"/>
    <w:rsid w:val="00674B2E"/>
    <w:rsid w:val="006A03E5"/>
    <w:rsid w:val="0071249B"/>
    <w:rsid w:val="00767700"/>
    <w:rsid w:val="00767DE7"/>
    <w:rsid w:val="0078799C"/>
    <w:rsid w:val="0079485F"/>
    <w:rsid w:val="007A7167"/>
    <w:rsid w:val="007B2C6B"/>
    <w:rsid w:val="007B50BF"/>
    <w:rsid w:val="007D0C3A"/>
    <w:rsid w:val="0080066C"/>
    <w:rsid w:val="00833986"/>
    <w:rsid w:val="0083562D"/>
    <w:rsid w:val="00852C7B"/>
    <w:rsid w:val="00862AFA"/>
    <w:rsid w:val="0088685F"/>
    <w:rsid w:val="0089696F"/>
    <w:rsid w:val="008A78B2"/>
    <w:rsid w:val="008C1A26"/>
    <w:rsid w:val="009260C8"/>
    <w:rsid w:val="00960A14"/>
    <w:rsid w:val="00975650"/>
    <w:rsid w:val="009825A8"/>
    <w:rsid w:val="00993D4A"/>
    <w:rsid w:val="009951B7"/>
    <w:rsid w:val="009976D1"/>
    <w:rsid w:val="009A0500"/>
    <w:rsid w:val="009A21ED"/>
    <w:rsid w:val="009C1F63"/>
    <w:rsid w:val="009D50EA"/>
    <w:rsid w:val="009E7248"/>
    <w:rsid w:val="00A00DDF"/>
    <w:rsid w:val="00A06839"/>
    <w:rsid w:val="00A251EA"/>
    <w:rsid w:val="00A46666"/>
    <w:rsid w:val="00A516B5"/>
    <w:rsid w:val="00A906AC"/>
    <w:rsid w:val="00A91206"/>
    <w:rsid w:val="00A91459"/>
    <w:rsid w:val="00AA2D67"/>
    <w:rsid w:val="00AA6983"/>
    <w:rsid w:val="00AB543B"/>
    <w:rsid w:val="00AE12E5"/>
    <w:rsid w:val="00AE48BF"/>
    <w:rsid w:val="00B13CA9"/>
    <w:rsid w:val="00B258D6"/>
    <w:rsid w:val="00B45F8F"/>
    <w:rsid w:val="00BD2299"/>
    <w:rsid w:val="00BE4267"/>
    <w:rsid w:val="00C131E8"/>
    <w:rsid w:val="00C156B0"/>
    <w:rsid w:val="00C31B1E"/>
    <w:rsid w:val="00C402E7"/>
    <w:rsid w:val="00C5030D"/>
    <w:rsid w:val="00C56521"/>
    <w:rsid w:val="00C57FEF"/>
    <w:rsid w:val="00C60319"/>
    <w:rsid w:val="00C6269D"/>
    <w:rsid w:val="00CA4032"/>
    <w:rsid w:val="00CB510A"/>
    <w:rsid w:val="00CD511B"/>
    <w:rsid w:val="00CF5D46"/>
    <w:rsid w:val="00D10225"/>
    <w:rsid w:val="00D14D38"/>
    <w:rsid w:val="00D23056"/>
    <w:rsid w:val="00D303CE"/>
    <w:rsid w:val="00D368CB"/>
    <w:rsid w:val="00D475A6"/>
    <w:rsid w:val="00D64752"/>
    <w:rsid w:val="00D82EDB"/>
    <w:rsid w:val="00DA5CFE"/>
    <w:rsid w:val="00DD07AF"/>
    <w:rsid w:val="00DE3DD9"/>
    <w:rsid w:val="00E0451B"/>
    <w:rsid w:val="00E806CD"/>
    <w:rsid w:val="00EA6A58"/>
    <w:rsid w:val="00EB17B4"/>
    <w:rsid w:val="00ED15A6"/>
    <w:rsid w:val="00F21280"/>
    <w:rsid w:val="00F603B0"/>
    <w:rsid w:val="00F60884"/>
    <w:rsid w:val="00F67FBA"/>
    <w:rsid w:val="00F72AD0"/>
    <w:rsid w:val="00F73AB8"/>
    <w:rsid w:val="00F74B39"/>
    <w:rsid w:val="00F76C83"/>
    <w:rsid w:val="00FA69DE"/>
    <w:rsid w:val="00FC2620"/>
    <w:rsid w:val="00FE3E83"/>
    <w:rsid w:val="00FE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2B1EA4"/>
  <w15:docId w15:val="{309E7214-13BD-4BAF-AFB4-32250392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14D3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14D38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rsid w:val="00D14D38"/>
  </w:style>
  <w:style w:type="paragraph" w:styleId="Header">
    <w:name w:val="header"/>
    <w:basedOn w:val="Normal"/>
    <w:link w:val="HeaderChar"/>
    <w:rsid w:val="00674B2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674B2E"/>
    <w:rPr>
      <w:rFonts w:ascii="Arial" w:hAnsi="Arial" w:cs="Arial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83562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3562D"/>
    <w:rPr>
      <w:rFonts w:ascii="Calibri" w:eastAsia="Calibri" w:hAnsi="Calibri"/>
      <w:sz w:val="22"/>
      <w:szCs w:val="22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Лист1!$B$34</c:f>
              <c:strCache>
                <c:ptCount val="1"/>
                <c:pt idx="0">
                  <c:v>Отчетено 2020 г., МВч</c:v>
                </c:pt>
              </c:strCache>
            </c:strRef>
          </c:tx>
          <c:spPr>
            <a:solidFill>
              <a:srgbClr val="4F81BD"/>
            </a:solidFill>
            <a:ln w="25421">
              <a:noFill/>
            </a:ln>
          </c:spPr>
          <c:invertIfNegative val="0"/>
          <c:cat>
            <c:strRef>
              <c:f>Лист1!$A$35:$A$37</c:f>
              <c:strCache>
                <c:ptCount val="3"/>
                <c:pt idx="0">
                  <c:v>Пром. потребители</c:v>
                </c:pt>
                <c:pt idx="1">
                  <c:v>ОА и търговски</c:v>
                </c:pt>
                <c:pt idx="2">
                  <c:v>Битови потребители</c:v>
                </c:pt>
              </c:strCache>
            </c:strRef>
          </c:cat>
          <c:val>
            <c:numRef>
              <c:f>Лист1!$B$35:$B$37</c:f>
              <c:numCache>
                <c:formatCode>General</c:formatCode>
                <c:ptCount val="3"/>
                <c:pt idx="0">
                  <c:v>7195</c:v>
                </c:pt>
                <c:pt idx="1">
                  <c:v>2325</c:v>
                </c:pt>
                <c:pt idx="2">
                  <c:v>2410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D0-427B-9E54-5DA83F00E6CB}"/>
            </c:ext>
          </c:extLst>
        </c:ser>
        <c:ser>
          <c:idx val="1"/>
          <c:order val="1"/>
          <c:tx>
            <c:strRef>
              <c:f>Лист1!$C$34</c:f>
              <c:strCache>
                <c:ptCount val="1"/>
                <c:pt idx="0">
                  <c:v>Отчетено 2021 г.  МВч</c:v>
                </c:pt>
              </c:strCache>
            </c:strRef>
          </c:tx>
          <c:spPr>
            <a:solidFill>
              <a:srgbClr val="C0504D"/>
            </a:solidFill>
            <a:ln w="25421">
              <a:noFill/>
            </a:ln>
          </c:spPr>
          <c:invertIfNegative val="0"/>
          <c:cat>
            <c:strRef>
              <c:f>Лист1!$A$35:$A$37</c:f>
              <c:strCache>
                <c:ptCount val="3"/>
                <c:pt idx="0">
                  <c:v>Пром. потребители</c:v>
                </c:pt>
                <c:pt idx="1">
                  <c:v>ОА и търговски</c:v>
                </c:pt>
                <c:pt idx="2">
                  <c:v>Битови потребители</c:v>
                </c:pt>
              </c:strCache>
            </c:strRef>
          </c:cat>
          <c:val>
            <c:numRef>
              <c:f>Лист1!$C$35:$C$37</c:f>
              <c:numCache>
                <c:formatCode>General</c:formatCode>
                <c:ptCount val="3"/>
                <c:pt idx="0">
                  <c:v>7410</c:v>
                </c:pt>
                <c:pt idx="1">
                  <c:v>3226</c:v>
                </c:pt>
                <c:pt idx="2">
                  <c:v>2853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DD0-427B-9E54-5DA83F00E6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6202864"/>
        <c:axId val="1"/>
        <c:axId val="2"/>
      </c:bar3DChart>
      <c:catAx>
        <c:axId val="236202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53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33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3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6202864"/>
        <c:crosses val="autoZero"/>
        <c:crossBetween val="between"/>
      </c:valAx>
      <c:serAx>
        <c:axId val="2"/>
        <c:scaling>
          <c:orientation val="minMax"/>
        </c:scaling>
        <c:delete val="0"/>
        <c:axPos val="b"/>
        <c:numFmt formatCode="@" sourceLinked="1"/>
        <c:majorTickMark val="none"/>
        <c:minorTickMark val="none"/>
        <c:tickLblPos val="nextTo"/>
        <c:spPr>
          <a:ln w="9533">
            <a:noFill/>
          </a:ln>
        </c:spPr>
        <c:txPr>
          <a:bodyPr rot="0" vert="horz"/>
          <a:lstStyle/>
          <a:p>
            <a:pPr>
              <a:defRPr sz="901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tickLblSkip val="1"/>
        <c:tickMarkSkip val="1"/>
      </c:serAx>
      <c:spPr>
        <a:noFill/>
        <a:ln w="25421">
          <a:noFill/>
        </a:ln>
      </c:spPr>
    </c:plotArea>
    <c:legend>
      <c:legendPos val="b"/>
      <c:overlay val="0"/>
      <c:spPr>
        <a:noFill/>
        <a:ln w="25421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1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33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Лист1!$A$4</c:f>
              <c:strCache>
                <c:ptCount val="1"/>
                <c:pt idx="0">
                  <c:v>Прогнозни 2020</c:v>
                </c:pt>
              </c:strCache>
            </c:strRef>
          </c:tx>
          <c:invertIfNegative val="0"/>
          <c:cat>
            <c:strRef>
              <c:f>Лист1!$A$1:$B$1</c:f>
              <c:strCache>
                <c:ptCount val="2"/>
                <c:pt idx="0">
                  <c:v>Стопански</c:v>
                </c:pt>
                <c:pt idx="1">
                  <c:v>Битови</c:v>
                </c:pt>
              </c:strCache>
            </c:strRef>
          </c:cat>
          <c:val>
            <c:numRef>
              <c:f>Лист1!$A$2:$B$2</c:f>
              <c:numCache>
                <c:formatCode>General</c:formatCode>
                <c:ptCount val="2"/>
                <c:pt idx="0">
                  <c:v>4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7D-42B6-90A0-3C642CBBE0EC}"/>
            </c:ext>
          </c:extLst>
        </c:ser>
        <c:ser>
          <c:idx val="1"/>
          <c:order val="1"/>
          <c:tx>
            <c:strRef>
              <c:f>Лист1!$B$4</c:f>
              <c:strCache>
                <c:ptCount val="1"/>
                <c:pt idx="0">
                  <c:v>Нови клиенти 2020</c:v>
                </c:pt>
              </c:strCache>
            </c:strRef>
          </c:tx>
          <c:invertIfNegative val="0"/>
          <c:cat>
            <c:strRef>
              <c:f>Лист1!$A$1:$B$1</c:f>
              <c:strCache>
                <c:ptCount val="2"/>
                <c:pt idx="0">
                  <c:v>Стопански</c:v>
                </c:pt>
                <c:pt idx="1">
                  <c:v>Битови</c:v>
                </c:pt>
              </c:strCache>
            </c:strRef>
          </c:cat>
          <c:val>
            <c:numRef>
              <c:f>Лист1!$A$3:$B$3</c:f>
              <c:numCache>
                <c:formatCode>General</c:formatCode>
                <c:ptCount val="2"/>
                <c:pt idx="0">
                  <c:v>0</c:v>
                </c:pt>
                <c:pt idx="1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7D-42B6-90A0-3C642CBBE0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6128784"/>
        <c:axId val="1"/>
        <c:axId val="0"/>
      </c:bar3DChart>
      <c:catAx>
        <c:axId val="236128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6128784"/>
        <c:crosses val="autoZero"/>
        <c:crossBetween val="between"/>
      </c:valAx>
      <c:spPr>
        <a:noFill/>
        <a:ln w="25373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Лист1!$B$17</c:f>
              <c:strCache>
                <c:ptCount val="1"/>
                <c:pt idx="0">
                  <c:v>Прогнозна 2021 г., MWh</c:v>
                </c:pt>
              </c:strCache>
            </c:strRef>
          </c:tx>
          <c:invertIfNegative val="0"/>
          <c:cat>
            <c:strRef>
              <c:f>Лист1!$A$18:$A$19</c:f>
              <c:strCache>
                <c:ptCount val="2"/>
                <c:pt idx="0">
                  <c:v>Промишлени потребители</c:v>
                </c:pt>
                <c:pt idx="1">
                  <c:v>Битови потребители</c:v>
                </c:pt>
              </c:strCache>
            </c:strRef>
          </c:cat>
          <c:val>
            <c:numRef>
              <c:f>Лист1!$B$18:$B$19</c:f>
              <c:numCache>
                <c:formatCode>General</c:formatCode>
                <c:ptCount val="2"/>
                <c:pt idx="0">
                  <c:v>8461</c:v>
                </c:pt>
                <c:pt idx="1">
                  <c:v>3071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32-4860-803C-7140BFAA0122}"/>
            </c:ext>
          </c:extLst>
        </c:ser>
        <c:ser>
          <c:idx val="1"/>
          <c:order val="1"/>
          <c:tx>
            <c:strRef>
              <c:f>Лист1!$C$17</c:f>
              <c:strCache>
                <c:ptCount val="1"/>
                <c:pt idx="0">
                  <c:v>Отчетено 2021 г.  MWh</c:v>
                </c:pt>
              </c:strCache>
            </c:strRef>
          </c:tx>
          <c:invertIfNegative val="0"/>
          <c:cat>
            <c:strRef>
              <c:f>Лист1!$A$18:$A$19</c:f>
              <c:strCache>
                <c:ptCount val="2"/>
                <c:pt idx="0">
                  <c:v>Промишлени потребители</c:v>
                </c:pt>
                <c:pt idx="1">
                  <c:v>Битови потребители</c:v>
                </c:pt>
              </c:strCache>
            </c:strRef>
          </c:cat>
          <c:val>
            <c:numRef>
              <c:f>Лист1!$C$18:$C$19</c:f>
              <c:numCache>
                <c:formatCode>General</c:formatCode>
                <c:ptCount val="2"/>
                <c:pt idx="0">
                  <c:v>10636</c:v>
                </c:pt>
                <c:pt idx="1">
                  <c:v>2853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32-4860-803C-7140BFAA01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7852416"/>
        <c:axId val="1"/>
        <c:axId val="0"/>
      </c:bar3DChart>
      <c:catAx>
        <c:axId val="197852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7852416"/>
        <c:crosses val="autoZero"/>
        <c:crossBetween val="between"/>
      </c:valAx>
      <c:spPr>
        <a:noFill/>
        <a:ln w="25378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„КНЕЖА ГАЗ”ООД</vt:lpstr>
      <vt:lpstr>„КНЕЖА ГАЗ”ООД</vt:lpstr>
    </vt:vector>
  </TitlesOfParts>
  <Company>Tassy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„КНЕЖА ГАЗ”ООД</dc:title>
  <dc:creator>Administrator</dc:creator>
  <cp:lastModifiedBy>Lachezar Petrov</cp:lastModifiedBy>
  <cp:revision>4</cp:revision>
  <cp:lastPrinted>2019-07-10T10:59:00Z</cp:lastPrinted>
  <dcterms:created xsi:type="dcterms:W3CDTF">2022-08-01T14:46:00Z</dcterms:created>
  <dcterms:modified xsi:type="dcterms:W3CDTF">2022-08-04T05:59:00Z</dcterms:modified>
</cp:coreProperties>
</file>