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ED219" w14:textId="77777777" w:rsidR="00F9708C" w:rsidRDefault="00F9708C" w:rsidP="007002D2">
      <w:pPr>
        <w:pStyle w:val="Header"/>
        <w:jc w:val="center"/>
        <w:rPr>
          <w:sz w:val="18"/>
          <w:szCs w:val="18"/>
        </w:rPr>
      </w:pPr>
    </w:p>
    <w:p w14:paraId="787BDF71" w14:textId="18ECCA6F" w:rsidR="007002D2" w:rsidRPr="00C304ED" w:rsidRDefault="007002D2" w:rsidP="007002D2">
      <w:pPr>
        <w:pStyle w:val="Header"/>
        <w:jc w:val="center"/>
        <w:rPr>
          <w:sz w:val="18"/>
          <w:szCs w:val="18"/>
        </w:rPr>
      </w:pPr>
      <w:r w:rsidRPr="00583EA8">
        <w:rPr>
          <w:noProof/>
          <w:sz w:val="18"/>
          <w:szCs w:val="18"/>
          <w:lang w:val="en-US"/>
        </w:rPr>
        <w:drawing>
          <wp:inline distT="0" distB="0" distL="0" distR="0" wp14:anchorId="5C49DB3D" wp14:editId="186C8E47">
            <wp:extent cx="2267585" cy="409575"/>
            <wp:effectExtent l="0" t="0" r="0" b="9525"/>
            <wp:docPr id="2" name="Picture 2" descr="BGG 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GG Cy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58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7F6D3" w14:textId="77777777" w:rsidR="007002D2" w:rsidRPr="00C304ED" w:rsidRDefault="007002D2" w:rsidP="007002D2">
      <w:pPr>
        <w:pStyle w:val="Header"/>
        <w:jc w:val="center"/>
        <w:rPr>
          <w:sz w:val="18"/>
          <w:szCs w:val="18"/>
          <w:lang w:val="ru-RU"/>
        </w:rPr>
      </w:pPr>
      <w:r w:rsidRPr="00C304ED">
        <w:rPr>
          <w:sz w:val="18"/>
          <w:szCs w:val="18"/>
          <w:lang w:val="ru-RU"/>
        </w:rPr>
        <w:t>______________________________________________________</w:t>
      </w:r>
    </w:p>
    <w:p w14:paraId="5504D165" w14:textId="77777777" w:rsidR="007002D2" w:rsidRPr="00C304ED" w:rsidRDefault="007002D2" w:rsidP="007002D2">
      <w:pPr>
        <w:pStyle w:val="Header"/>
        <w:spacing w:before="120"/>
        <w:jc w:val="center"/>
        <w:rPr>
          <w:rFonts w:ascii="Verdana" w:hAnsi="Verdana"/>
          <w:sz w:val="18"/>
          <w:szCs w:val="18"/>
        </w:rPr>
      </w:pPr>
      <w:r w:rsidRPr="00C304ED">
        <w:rPr>
          <w:rFonts w:ascii="Verdana" w:hAnsi="Verdana"/>
          <w:sz w:val="18"/>
          <w:szCs w:val="18"/>
        </w:rPr>
        <w:t>София 1</w:t>
      </w:r>
      <w:r w:rsidRPr="00C304ED">
        <w:rPr>
          <w:rFonts w:ascii="Verdana" w:hAnsi="Verdana"/>
          <w:sz w:val="18"/>
          <w:szCs w:val="18"/>
          <w:lang w:val="ru-RU"/>
        </w:rPr>
        <w:t>000</w:t>
      </w:r>
      <w:r w:rsidRPr="00C304ED">
        <w:rPr>
          <w:rFonts w:ascii="Verdana" w:hAnsi="Verdana"/>
          <w:sz w:val="18"/>
          <w:szCs w:val="18"/>
        </w:rPr>
        <w:t xml:space="preserve">, ул. </w:t>
      </w:r>
      <w:r w:rsidRPr="00C304ED">
        <w:rPr>
          <w:rFonts w:ascii="Verdana" w:hAnsi="Verdana"/>
          <w:sz w:val="18"/>
          <w:szCs w:val="18"/>
          <w:lang w:val="ru-RU"/>
        </w:rPr>
        <w:t>“</w:t>
      </w:r>
      <w:r w:rsidRPr="00C304ED">
        <w:rPr>
          <w:rFonts w:ascii="Verdana" w:hAnsi="Verdana"/>
          <w:sz w:val="18"/>
          <w:szCs w:val="18"/>
        </w:rPr>
        <w:t>Петър Парчевич</w:t>
      </w:r>
      <w:r w:rsidRPr="00C304ED">
        <w:rPr>
          <w:rFonts w:ascii="Verdana" w:hAnsi="Verdana"/>
          <w:sz w:val="18"/>
          <w:szCs w:val="18"/>
          <w:lang w:val="ru-RU"/>
        </w:rPr>
        <w:t>”</w:t>
      </w:r>
      <w:r w:rsidRPr="00C304ED">
        <w:rPr>
          <w:rFonts w:ascii="Verdana" w:hAnsi="Verdana"/>
          <w:sz w:val="18"/>
          <w:szCs w:val="18"/>
        </w:rPr>
        <w:t xml:space="preserve"> № 47</w:t>
      </w:r>
      <w:r w:rsidRPr="00C304ED">
        <w:rPr>
          <w:rFonts w:ascii="Verdana" w:hAnsi="Verdana"/>
          <w:sz w:val="18"/>
          <w:szCs w:val="18"/>
          <w:lang w:val="ru-RU"/>
        </w:rPr>
        <w:t xml:space="preserve">, </w:t>
      </w:r>
      <w:r w:rsidRPr="00C304ED">
        <w:rPr>
          <w:rFonts w:ascii="Verdana" w:hAnsi="Verdana"/>
          <w:sz w:val="18"/>
          <w:szCs w:val="18"/>
        </w:rPr>
        <w:t xml:space="preserve">ЕИК </w:t>
      </w:r>
      <w:r w:rsidRPr="00C304ED">
        <w:rPr>
          <w:rFonts w:ascii="Verdana" w:hAnsi="Verdana"/>
          <w:sz w:val="18"/>
          <w:szCs w:val="18"/>
          <w:lang w:val="ru-RU"/>
        </w:rPr>
        <w:t>175203485</w:t>
      </w:r>
    </w:p>
    <w:p w14:paraId="34E1FA3E" w14:textId="77777777" w:rsidR="007002D2" w:rsidRDefault="007002D2" w:rsidP="007002D2">
      <w:pPr>
        <w:pStyle w:val="Header"/>
        <w:tabs>
          <w:tab w:val="center" w:pos="0"/>
          <w:tab w:val="left" w:pos="142"/>
          <w:tab w:val="center" w:pos="4944"/>
          <w:tab w:val="left" w:pos="8292"/>
          <w:tab w:val="right" w:pos="9498"/>
        </w:tabs>
        <w:ind w:left="142"/>
      </w:pPr>
      <w:r>
        <w:rPr>
          <w:rFonts w:ascii="Verdana" w:hAnsi="Verdana"/>
          <w:sz w:val="18"/>
          <w:szCs w:val="18"/>
        </w:rPr>
        <w:tab/>
      </w:r>
      <w:r w:rsidRPr="00C304ED">
        <w:rPr>
          <w:rFonts w:ascii="Verdana" w:hAnsi="Verdana"/>
          <w:sz w:val="18"/>
          <w:szCs w:val="18"/>
        </w:rPr>
        <w:t xml:space="preserve">тел: 02 935 89 44, факс: 02 925 03 94, </w:t>
      </w:r>
      <w:r w:rsidRPr="003B551F">
        <w:rPr>
          <w:rFonts w:ascii="Verdana" w:hAnsi="Verdana"/>
          <w:sz w:val="18"/>
          <w:szCs w:val="18"/>
        </w:rPr>
        <w:t>www.bulgargaz.bg</w:t>
      </w:r>
    </w:p>
    <w:p w14:paraId="64E0902D" w14:textId="77777777" w:rsidR="007002D2" w:rsidRDefault="007002D2" w:rsidP="0074308A">
      <w:pPr>
        <w:spacing w:line="48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0"/>
        </w:rPr>
      </w:pPr>
    </w:p>
    <w:p w14:paraId="0B4B9D64" w14:textId="2786C83D" w:rsidR="0074308A" w:rsidRPr="00FD7459" w:rsidRDefault="0074308A" w:rsidP="0074308A">
      <w:pPr>
        <w:spacing w:line="480" w:lineRule="auto"/>
        <w:jc w:val="center"/>
        <w:rPr>
          <w:rFonts w:ascii="Times New Roman" w:hAnsi="Times New Roman" w:cs="Times New Roman"/>
          <w:b/>
          <w:color w:val="1F3864" w:themeColor="accent5" w:themeShade="80"/>
          <w:sz w:val="32"/>
          <w:szCs w:val="30"/>
        </w:rPr>
      </w:pPr>
      <w:r w:rsidRPr="00FD7459">
        <w:rPr>
          <w:rFonts w:ascii="Times New Roman" w:hAnsi="Times New Roman" w:cs="Times New Roman"/>
          <w:b/>
          <w:color w:val="1F3864" w:themeColor="accent5" w:themeShade="80"/>
          <w:sz w:val="32"/>
          <w:szCs w:val="30"/>
        </w:rPr>
        <w:t>Отчет за изпълнение на плана за оптимизиране на разходите на „Булгаргаз“ ЕАД за 20</w:t>
      </w:r>
      <w:r w:rsidR="00B70C90" w:rsidRPr="00752AF9">
        <w:rPr>
          <w:rFonts w:ascii="Times New Roman" w:hAnsi="Times New Roman" w:cs="Times New Roman"/>
          <w:b/>
          <w:color w:val="1F3864" w:themeColor="accent5" w:themeShade="80"/>
          <w:sz w:val="32"/>
          <w:szCs w:val="30"/>
        </w:rPr>
        <w:t>2</w:t>
      </w:r>
      <w:r w:rsidR="00FD7BCE">
        <w:rPr>
          <w:rFonts w:ascii="Times New Roman" w:hAnsi="Times New Roman" w:cs="Times New Roman"/>
          <w:b/>
          <w:color w:val="1F3864" w:themeColor="accent5" w:themeShade="80"/>
          <w:sz w:val="32"/>
          <w:szCs w:val="30"/>
        </w:rPr>
        <w:t>4</w:t>
      </w:r>
      <w:r w:rsidRPr="00752AF9">
        <w:rPr>
          <w:rFonts w:ascii="Times New Roman" w:hAnsi="Times New Roman" w:cs="Times New Roman"/>
          <w:b/>
          <w:color w:val="1F3864" w:themeColor="accent5" w:themeShade="80"/>
          <w:sz w:val="32"/>
          <w:szCs w:val="30"/>
        </w:rPr>
        <w:t xml:space="preserve"> г</w:t>
      </w:r>
      <w:r w:rsidRPr="00FD7459">
        <w:rPr>
          <w:rFonts w:ascii="Times New Roman" w:hAnsi="Times New Roman" w:cs="Times New Roman"/>
          <w:b/>
          <w:color w:val="1F3864" w:themeColor="accent5" w:themeShade="80"/>
          <w:sz w:val="32"/>
          <w:szCs w:val="30"/>
        </w:rPr>
        <w:t>.</w:t>
      </w:r>
    </w:p>
    <w:p w14:paraId="542BCDE7" w14:textId="0E66DD05" w:rsidR="0055023A" w:rsidRPr="0083604A" w:rsidRDefault="0055023A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Настоящият </w:t>
      </w:r>
      <w:r w:rsidR="00B51C93">
        <w:rPr>
          <w:rFonts w:ascii="Times New Roman" w:hAnsi="Times New Roman" w:cs="Times New Roman"/>
          <w:color w:val="000000"/>
          <w:sz w:val="20"/>
          <w:szCs w:val="20"/>
        </w:rPr>
        <w:t>Отчет</w:t>
      </w:r>
      <w:r w:rsidR="00405A2C">
        <w:rPr>
          <w:rFonts w:ascii="Times New Roman" w:hAnsi="Times New Roman" w:cs="Times New Roman"/>
          <w:color w:val="000000"/>
          <w:sz w:val="20"/>
          <w:szCs w:val="20"/>
        </w:rPr>
        <w:t xml:space="preserve"> за изпълнение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C11A3">
        <w:rPr>
          <w:rFonts w:ascii="Times New Roman" w:hAnsi="Times New Roman" w:cs="Times New Roman"/>
          <w:color w:val="000000"/>
          <w:sz w:val="20"/>
          <w:szCs w:val="20"/>
        </w:rPr>
        <w:t xml:space="preserve">на плана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за оптимизиране на разходите на „Булгаргаз“ ЕАД за 20</w:t>
      </w:r>
      <w:r w:rsidR="004D0580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F13151">
        <w:rPr>
          <w:rFonts w:ascii="Times New Roman" w:hAnsi="Times New Roman" w:cs="Times New Roman"/>
          <w:color w:val="000000"/>
          <w:sz w:val="20"/>
          <w:szCs w:val="20"/>
          <w:lang w:val="en-US"/>
        </w:rPr>
        <w:t>4</w:t>
      </w:r>
      <w:r w:rsidR="00263DC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г. е разработен на основание изискване, заложено в чл. 16, ал. 3, Раздел III от Наредба № Е-РД-04-4 от 14.07.2016 г. за публично оповестяване и оптимизиране на разходите на търговските дружества с 50 и над 50 на сто държавно или общинско участие в капитала, извършващи дейности по Закона за енергетиката (Обн., ДВ, бр. 68 от 30.08.2016 г., в сила от 30.08.2016</w:t>
      </w:r>
      <w:r w:rsidR="00263DC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г.).</w:t>
      </w:r>
    </w:p>
    <w:p w14:paraId="2F8707D6" w14:textId="5A3116CB" w:rsidR="0055023A" w:rsidRDefault="0055023A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>Съгласно Наредбата, основната цел на плана з</w:t>
      </w:r>
      <w:r w:rsidR="00A00604">
        <w:rPr>
          <w:rFonts w:ascii="Times New Roman" w:hAnsi="Times New Roman" w:cs="Times New Roman"/>
          <w:color w:val="000000"/>
          <w:sz w:val="20"/>
          <w:szCs w:val="20"/>
        </w:rPr>
        <w:t>а оптимизиране на разходите на Д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ружеството е органите на управление на „Булгаргаз“ ЕАД да предприемат мерки с оглед осигуряване на целесъобразност при разходването на финансовите средства</w:t>
      </w:r>
      <w:r w:rsidR="001F354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при спазване на принципите за законосъобразност, добро финансово управление и прозрачност. Финансовите средства да се разходват и управляват икономично, ефективно и ефикасно. За постигане на заложените цели </w:t>
      </w:r>
      <w:r w:rsidR="00D70A67">
        <w:rPr>
          <w:rFonts w:ascii="Times New Roman" w:hAnsi="Times New Roman" w:cs="Times New Roman"/>
          <w:color w:val="000000"/>
          <w:sz w:val="20"/>
          <w:szCs w:val="20"/>
        </w:rPr>
        <w:t xml:space="preserve">следва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да се разработи система от управленски мерки, критерии и ключови показатели, съобразени със спецификата на дейността, които да послужат за наблюдение и оценка на ефикасността</w:t>
      </w:r>
      <w:r w:rsidR="00CD7162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с която се </w:t>
      </w:r>
      <w:r w:rsidR="00A00604">
        <w:rPr>
          <w:rFonts w:ascii="Times New Roman" w:hAnsi="Times New Roman" w:cs="Times New Roman"/>
          <w:color w:val="000000"/>
          <w:sz w:val="20"/>
          <w:szCs w:val="20"/>
        </w:rPr>
        <w:t>извършват определени разходи в Д</w:t>
      </w:r>
      <w:r w:rsidR="00BE2B07">
        <w:rPr>
          <w:rFonts w:ascii="Times New Roman" w:hAnsi="Times New Roman" w:cs="Times New Roman"/>
          <w:color w:val="000000"/>
          <w:sz w:val="20"/>
          <w:szCs w:val="20"/>
        </w:rPr>
        <w:t xml:space="preserve">ружеството, както и тяхното прилагане, което ще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доведе до финансо</w:t>
      </w:r>
      <w:r w:rsidR="00A00604">
        <w:rPr>
          <w:rFonts w:ascii="Times New Roman" w:hAnsi="Times New Roman" w:cs="Times New Roman"/>
          <w:color w:val="000000"/>
          <w:sz w:val="20"/>
          <w:szCs w:val="20"/>
        </w:rPr>
        <w:t xml:space="preserve">ва устойчивост и стабилност на </w:t>
      </w:r>
      <w:r w:rsidR="00A00604" w:rsidRPr="0083604A">
        <w:rPr>
          <w:rFonts w:ascii="Times New Roman" w:hAnsi="Times New Roman" w:cs="Times New Roman"/>
          <w:color w:val="000000"/>
          <w:sz w:val="20"/>
          <w:szCs w:val="20"/>
        </w:rPr>
        <w:t>„Булгаргаз“ ЕАД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C5E17FB" w14:textId="1D3987D6" w:rsidR="00421CFE" w:rsidRPr="008F2B92" w:rsidRDefault="00421CFE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Отчетът</w:t>
      </w:r>
      <w:r w:rsidR="002E4E2B">
        <w:rPr>
          <w:rFonts w:ascii="Times New Roman" w:hAnsi="Times New Roman" w:cs="Times New Roman"/>
          <w:color w:val="000000"/>
          <w:sz w:val="20"/>
          <w:szCs w:val="20"/>
        </w:rPr>
        <w:t xml:space="preserve"> за изпълнение на плана за оптимизиране на разходите е изготвен въз основа на данните за 202</w:t>
      </w:r>
      <w:r w:rsidR="003F6AC0">
        <w:rPr>
          <w:rFonts w:ascii="Times New Roman" w:hAnsi="Times New Roman" w:cs="Times New Roman"/>
          <w:color w:val="000000"/>
          <w:sz w:val="20"/>
          <w:szCs w:val="20"/>
          <w:lang w:val="en-US"/>
        </w:rPr>
        <w:t>4</w:t>
      </w:r>
      <w:r w:rsidR="002E4E2B">
        <w:rPr>
          <w:rFonts w:ascii="Times New Roman" w:hAnsi="Times New Roman" w:cs="Times New Roman"/>
          <w:color w:val="000000"/>
          <w:sz w:val="20"/>
          <w:szCs w:val="20"/>
        </w:rPr>
        <w:t xml:space="preserve"> г.</w:t>
      </w:r>
      <w:r w:rsidR="00FB75E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70ED6">
        <w:rPr>
          <w:rFonts w:ascii="Times New Roman" w:hAnsi="Times New Roman" w:cs="Times New Roman"/>
          <w:color w:val="000000"/>
          <w:sz w:val="20"/>
          <w:szCs w:val="20"/>
        </w:rPr>
        <w:t>от Бизнес</w:t>
      </w:r>
      <w:r w:rsidR="00352A8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C52E5">
        <w:rPr>
          <w:rFonts w:ascii="Times New Roman" w:hAnsi="Times New Roman" w:cs="Times New Roman"/>
          <w:color w:val="000000"/>
          <w:sz w:val="20"/>
          <w:szCs w:val="20"/>
        </w:rPr>
        <w:t>план-</w:t>
      </w:r>
      <w:r w:rsidR="00D70ED6">
        <w:rPr>
          <w:rFonts w:ascii="Times New Roman" w:hAnsi="Times New Roman" w:cs="Times New Roman"/>
          <w:color w:val="000000"/>
          <w:sz w:val="20"/>
          <w:szCs w:val="20"/>
        </w:rPr>
        <w:t>програма</w:t>
      </w:r>
      <w:r w:rsidR="0009787B">
        <w:rPr>
          <w:rFonts w:ascii="Times New Roman" w:hAnsi="Times New Roman" w:cs="Times New Roman"/>
          <w:color w:val="000000"/>
          <w:sz w:val="20"/>
          <w:szCs w:val="20"/>
        </w:rPr>
        <w:t>та</w:t>
      </w:r>
      <w:r w:rsidR="00D70ED6">
        <w:rPr>
          <w:rFonts w:ascii="Times New Roman" w:hAnsi="Times New Roman" w:cs="Times New Roman"/>
          <w:color w:val="000000"/>
          <w:sz w:val="20"/>
          <w:szCs w:val="20"/>
        </w:rPr>
        <w:t xml:space="preserve"> за пе</w:t>
      </w:r>
      <w:r w:rsidR="009E7506">
        <w:rPr>
          <w:rFonts w:ascii="Times New Roman" w:hAnsi="Times New Roman" w:cs="Times New Roman"/>
          <w:color w:val="000000"/>
          <w:sz w:val="20"/>
          <w:szCs w:val="20"/>
        </w:rPr>
        <w:t>риода 202</w:t>
      </w:r>
      <w:r w:rsidR="0009787B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9E7506">
        <w:rPr>
          <w:rFonts w:ascii="Times New Roman" w:hAnsi="Times New Roman" w:cs="Times New Roman"/>
          <w:color w:val="000000"/>
          <w:sz w:val="20"/>
          <w:szCs w:val="20"/>
        </w:rPr>
        <w:t>-202</w:t>
      </w:r>
      <w:r w:rsidR="0009787B"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="009E7506">
        <w:rPr>
          <w:rFonts w:ascii="Times New Roman" w:hAnsi="Times New Roman" w:cs="Times New Roman"/>
          <w:color w:val="000000"/>
          <w:sz w:val="20"/>
          <w:szCs w:val="20"/>
        </w:rPr>
        <w:t xml:space="preserve"> година, съпоставена с данните </w:t>
      </w:r>
      <w:r w:rsidR="008F2B92" w:rsidRPr="00986DAD">
        <w:rPr>
          <w:rFonts w:ascii="Times New Roman" w:hAnsi="Times New Roman" w:cs="Times New Roman"/>
          <w:color w:val="000000"/>
          <w:sz w:val="20"/>
          <w:szCs w:val="20"/>
        </w:rPr>
        <w:t>от</w:t>
      </w:r>
      <w:r w:rsidR="009E7506" w:rsidRPr="00986DAD">
        <w:rPr>
          <w:rFonts w:ascii="Times New Roman" w:hAnsi="Times New Roman" w:cs="Times New Roman"/>
          <w:color w:val="000000"/>
          <w:sz w:val="20"/>
          <w:szCs w:val="20"/>
        </w:rPr>
        <w:t xml:space="preserve"> одитирания </w:t>
      </w:r>
      <w:r w:rsidR="00680F4B" w:rsidRPr="00986DAD">
        <w:rPr>
          <w:rFonts w:ascii="Times New Roman" w:hAnsi="Times New Roman" w:cs="Times New Roman"/>
          <w:color w:val="000000"/>
          <w:sz w:val="20"/>
          <w:szCs w:val="20"/>
        </w:rPr>
        <w:t xml:space="preserve">финансов отчет за </w:t>
      </w:r>
      <w:r w:rsidR="004B11EA" w:rsidRPr="00986DAD">
        <w:rPr>
          <w:rFonts w:ascii="Times New Roman" w:hAnsi="Times New Roman" w:cs="Times New Roman"/>
          <w:color w:val="000000"/>
          <w:sz w:val="20"/>
          <w:szCs w:val="20"/>
        </w:rPr>
        <w:t>същия перио</w:t>
      </w:r>
      <w:r w:rsidR="0019067E" w:rsidRPr="00986DAD">
        <w:rPr>
          <w:rFonts w:ascii="Times New Roman" w:hAnsi="Times New Roman" w:cs="Times New Roman"/>
          <w:color w:val="000000"/>
          <w:sz w:val="20"/>
          <w:szCs w:val="20"/>
        </w:rPr>
        <w:t>д на 202</w:t>
      </w:r>
      <w:r w:rsidR="0009787B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19067E" w:rsidRPr="00986DAD">
        <w:rPr>
          <w:rFonts w:ascii="Times New Roman" w:hAnsi="Times New Roman" w:cs="Times New Roman"/>
          <w:color w:val="000000"/>
          <w:sz w:val="20"/>
          <w:szCs w:val="20"/>
        </w:rPr>
        <w:t xml:space="preserve"> г</w:t>
      </w:r>
      <w:r w:rsidR="008F2B92" w:rsidRPr="00986DA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A446C50" w14:textId="2A7B8AA7" w:rsidR="00F720A1" w:rsidRDefault="0055023A" w:rsidP="00B3291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>На базата на резултатите на анализа и оценката на планираните р</w:t>
      </w:r>
      <w:r w:rsidR="00164CF5">
        <w:rPr>
          <w:rFonts w:ascii="Times New Roman" w:hAnsi="Times New Roman" w:cs="Times New Roman"/>
          <w:color w:val="000000"/>
          <w:sz w:val="20"/>
          <w:szCs w:val="20"/>
        </w:rPr>
        <w:t>азходи за доставка</w:t>
      </w:r>
      <w:r w:rsidR="00252EB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252EB9">
        <w:rPr>
          <w:rFonts w:ascii="Times New Roman" w:hAnsi="Times New Roman" w:cs="Times New Roman"/>
          <w:color w:val="000000"/>
          <w:sz w:val="20"/>
          <w:szCs w:val="20"/>
        </w:rPr>
        <w:t>на природен газ</w:t>
      </w:r>
      <w:r w:rsidR="000540E5">
        <w:rPr>
          <w:rFonts w:ascii="Times New Roman" w:hAnsi="Times New Roman" w:cs="Times New Roman"/>
          <w:color w:val="000000"/>
          <w:sz w:val="20"/>
          <w:szCs w:val="20"/>
        </w:rPr>
        <w:t>, на други доставки на стоки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и услуги, а също така</w:t>
      </w:r>
      <w:r w:rsidR="00A00604">
        <w:rPr>
          <w:rFonts w:ascii="Times New Roman" w:hAnsi="Times New Roman" w:cs="Times New Roman"/>
          <w:color w:val="000000"/>
          <w:sz w:val="20"/>
          <w:szCs w:val="20"/>
        </w:rPr>
        <w:t xml:space="preserve"> и на финансовото състояние на Д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ружеството се предлага настоящият </w:t>
      </w:r>
      <w:r w:rsidR="0027479C">
        <w:rPr>
          <w:rFonts w:ascii="Times New Roman" w:hAnsi="Times New Roman" w:cs="Times New Roman"/>
          <w:color w:val="000000"/>
          <w:sz w:val="20"/>
          <w:szCs w:val="20"/>
        </w:rPr>
        <w:t>отчет</w:t>
      </w:r>
      <w:r w:rsidR="008129FF">
        <w:rPr>
          <w:rFonts w:ascii="Times New Roman" w:hAnsi="Times New Roman" w:cs="Times New Roman"/>
          <w:color w:val="000000"/>
          <w:sz w:val="20"/>
          <w:szCs w:val="20"/>
        </w:rPr>
        <w:t xml:space="preserve"> за изпълнение </w:t>
      </w:r>
      <w:r w:rsidR="00B35E30">
        <w:rPr>
          <w:rFonts w:ascii="Times New Roman" w:hAnsi="Times New Roman" w:cs="Times New Roman"/>
          <w:color w:val="000000"/>
          <w:sz w:val="20"/>
          <w:szCs w:val="20"/>
        </w:rPr>
        <w:t>на плана</w:t>
      </w:r>
      <w:r w:rsidR="0027479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който съдържа информация за </w:t>
      </w:r>
      <w:r w:rsidR="00B67BCB">
        <w:rPr>
          <w:rFonts w:ascii="Times New Roman" w:hAnsi="Times New Roman" w:cs="Times New Roman"/>
          <w:color w:val="000000"/>
          <w:sz w:val="20"/>
          <w:szCs w:val="20"/>
        </w:rPr>
        <w:t>извършените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разходи и конкретни действия, които </w:t>
      </w:r>
      <w:r w:rsidR="00B67BCB">
        <w:rPr>
          <w:rFonts w:ascii="Times New Roman" w:hAnsi="Times New Roman" w:cs="Times New Roman"/>
          <w:color w:val="000000"/>
          <w:sz w:val="20"/>
          <w:szCs w:val="20"/>
        </w:rPr>
        <w:t xml:space="preserve">са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предприети за оптимизирането им съгласно спецификата на дейността.</w:t>
      </w:r>
    </w:p>
    <w:p w14:paraId="4E5CB8F8" w14:textId="77777777" w:rsidR="007002D2" w:rsidRPr="00B32911" w:rsidRDefault="007002D2" w:rsidP="00B3291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5DFC3584" w14:textId="77777777" w:rsidR="0055023A" w:rsidRPr="0083604A" w:rsidRDefault="0055023A" w:rsidP="00567541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3604A">
        <w:rPr>
          <w:rFonts w:ascii="Times New Roman" w:hAnsi="Times New Roman" w:cs="Times New Roman"/>
          <w:b/>
          <w:sz w:val="20"/>
          <w:szCs w:val="20"/>
        </w:rPr>
        <w:t xml:space="preserve">Характер на </w:t>
      </w:r>
      <w:r w:rsidR="000249F7" w:rsidRPr="0083604A">
        <w:rPr>
          <w:rFonts w:ascii="Times New Roman" w:hAnsi="Times New Roman" w:cs="Times New Roman"/>
          <w:b/>
          <w:sz w:val="20"/>
          <w:szCs w:val="20"/>
        </w:rPr>
        <w:t xml:space="preserve">разходите на </w:t>
      </w:r>
      <w:r w:rsidRPr="0083604A">
        <w:rPr>
          <w:rFonts w:ascii="Times New Roman" w:hAnsi="Times New Roman" w:cs="Times New Roman"/>
          <w:b/>
          <w:sz w:val="20"/>
          <w:szCs w:val="20"/>
        </w:rPr>
        <w:t>Дружеството</w:t>
      </w:r>
    </w:p>
    <w:p w14:paraId="2F9DFDD8" w14:textId="77777777" w:rsidR="00EC4B87" w:rsidRPr="0083604A" w:rsidRDefault="00330249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Разходите по икономически елементи на Дружеството включват себестойност на продаден природен газ, разходи за материали, разходи за външни услуги, </w:t>
      </w:r>
      <w:r w:rsidR="00395C9C">
        <w:rPr>
          <w:rFonts w:ascii="Times New Roman" w:hAnsi="Times New Roman" w:cs="Times New Roman"/>
          <w:color w:val="000000"/>
          <w:sz w:val="20"/>
          <w:szCs w:val="20"/>
        </w:rPr>
        <w:t xml:space="preserve">разходи за амортизация,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разходи за възнаграждения и други разходи.</w:t>
      </w:r>
    </w:p>
    <w:p w14:paraId="2E5D8FDF" w14:textId="77777777" w:rsidR="007002D2" w:rsidRDefault="007002D2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0472B3FE" w14:textId="77777777" w:rsidR="007002D2" w:rsidRDefault="007002D2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3D6908F1" w14:textId="77777777" w:rsidR="007002D2" w:rsidRDefault="007002D2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7A3C9904" w14:textId="77777777" w:rsidR="007002D2" w:rsidRDefault="007002D2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5B2008BB" w14:textId="7ACF6884" w:rsidR="00C07B29" w:rsidRPr="0083604A" w:rsidRDefault="00C07B29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63A43">
        <w:rPr>
          <w:rFonts w:ascii="Times New Roman" w:hAnsi="Times New Roman" w:cs="Times New Roman"/>
          <w:i/>
          <w:iCs/>
          <w:color w:val="000000"/>
          <w:sz w:val="20"/>
          <w:szCs w:val="20"/>
        </w:rPr>
        <w:lastRenderedPageBreak/>
        <w:t>Таблица №</w:t>
      </w:r>
      <w:r w:rsidR="005C36F0" w:rsidRPr="00C63A4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="00E40495" w:rsidRPr="00C63A43">
        <w:rPr>
          <w:rFonts w:ascii="Times New Roman" w:hAnsi="Times New Roman" w:cs="Times New Roman"/>
          <w:i/>
          <w:iCs/>
          <w:color w:val="000000"/>
          <w:sz w:val="20"/>
          <w:szCs w:val="20"/>
        </w:rPr>
        <w:t>1</w:t>
      </w:r>
      <w:r w:rsidR="00DD7BB8">
        <w:rPr>
          <w:rFonts w:ascii="Times New Roman" w:hAnsi="Times New Roman" w:cs="Times New Roman"/>
          <w:color w:val="000000"/>
          <w:sz w:val="20"/>
          <w:szCs w:val="20"/>
        </w:rPr>
        <w:t xml:space="preserve"> показва, че над</w:t>
      </w:r>
      <w:r w:rsidR="0051049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4369F">
        <w:rPr>
          <w:rFonts w:ascii="Times New Roman" w:hAnsi="Times New Roman" w:cs="Times New Roman"/>
          <w:color w:val="000000"/>
          <w:sz w:val="20"/>
          <w:szCs w:val="20"/>
          <w:lang w:val="en-US"/>
        </w:rPr>
        <w:t>75</w:t>
      </w:r>
      <w:r w:rsidRPr="0014369F">
        <w:rPr>
          <w:rFonts w:ascii="Times New Roman" w:hAnsi="Times New Roman" w:cs="Times New Roman"/>
          <w:color w:val="000000"/>
          <w:sz w:val="20"/>
          <w:szCs w:val="20"/>
        </w:rPr>
        <w:t>%</w:t>
      </w:r>
      <w:r w:rsidRPr="005931E3">
        <w:rPr>
          <w:rFonts w:ascii="Times New Roman" w:hAnsi="Times New Roman" w:cs="Times New Roman"/>
          <w:color w:val="000000"/>
          <w:sz w:val="20"/>
          <w:szCs w:val="20"/>
        </w:rPr>
        <w:t xml:space="preserve"> от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разходите на </w:t>
      </w:r>
      <w:r w:rsidR="008D32EB" w:rsidRPr="0083604A">
        <w:rPr>
          <w:rFonts w:ascii="Times New Roman" w:hAnsi="Times New Roman" w:cs="Times New Roman"/>
          <w:color w:val="000000"/>
          <w:sz w:val="20"/>
          <w:szCs w:val="20"/>
        </w:rPr>
        <w:t>„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Булгаргаз</w:t>
      </w:r>
      <w:r w:rsidR="008D32EB" w:rsidRPr="0083604A">
        <w:rPr>
          <w:rFonts w:ascii="Times New Roman" w:hAnsi="Times New Roman" w:cs="Times New Roman"/>
          <w:color w:val="000000"/>
          <w:sz w:val="20"/>
          <w:szCs w:val="20"/>
        </w:rPr>
        <w:t>“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D32EB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ЕАД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с</w:t>
      </w:r>
      <w:r w:rsidR="008D32EB" w:rsidRPr="0083604A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2531D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8D32EB" w:rsidRPr="0083604A">
        <w:rPr>
          <w:rFonts w:ascii="Times New Roman" w:hAnsi="Times New Roman" w:cs="Times New Roman"/>
          <w:color w:val="000000"/>
          <w:sz w:val="20"/>
          <w:szCs w:val="20"/>
        </w:rPr>
        <w:t>себестойност</w:t>
      </w:r>
      <w:r w:rsidR="00125CBF">
        <w:rPr>
          <w:rFonts w:ascii="Times New Roman" w:hAnsi="Times New Roman" w:cs="Times New Roman"/>
          <w:color w:val="000000"/>
          <w:sz w:val="20"/>
          <w:szCs w:val="20"/>
        </w:rPr>
        <w:t>та</w:t>
      </w:r>
      <w:r w:rsidR="008D32EB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на природния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газ</w:t>
      </w:r>
      <w:r w:rsidR="00902EA2">
        <w:rPr>
          <w:rFonts w:ascii="Times New Roman" w:hAnsi="Times New Roman" w:cs="Times New Roman"/>
          <w:color w:val="000000"/>
          <w:sz w:val="20"/>
          <w:szCs w:val="20"/>
        </w:rPr>
        <w:t xml:space="preserve"> през 2024 г. и над </w:t>
      </w:r>
      <w:r w:rsidR="00F84A16">
        <w:rPr>
          <w:rFonts w:ascii="Times New Roman" w:hAnsi="Times New Roman" w:cs="Times New Roman"/>
          <w:color w:val="000000"/>
          <w:sz w:val="20"/>
          <w:szCs w:val="20"/>
        </w:rPr>
        <w:t>92% през следващите години.</w:t>
      </w:r>
    </w:p>
    <w:p w14:paraId="76FBCFC9" w14:textId="06435F95" w:rsidR="004B6CC8" w:rsidRDefault="00FA39E3" w:rsidP="008145D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C63A43">
        <w:rPr>
          <w:rFonts w:ascii="Times New Roman" w:hAnsi="Times New Roman" w:cs="Times New Roman"/>
          <w:i/>
          <w:iCs/>
          <w:sz w:val="20"/>
          <w:szCs w:val="20"/>
        </w:rPr>
        <w:t>Таблица №</w:t>
      </w:r>
      <w:r w:rsidR="005C36F0" w:rsidRPr="00C63A4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E40495" w:rsidRPr="00C63A43">
        <w:rPr>
          <w:rFonts w:ascii="Times New Roman" w:hAnsi="Times New Roman" w:cs="Times New Roman"/>
          <w:i/>
          <w:iCs/>
          <w:sz w:val="20"/>
          <w:szCs w:val="20"/>
        </w:rPr>
        <w:t>1</w:t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8145DC">
        <w:rPr>
          <w:rFonts w:ascii="Times New Roman" w:hAnsi="Times New Roman" w:cs="Times New Roman"/>
          <w:sz w:val="20"/>
          <w:szCs w:val="20"/>
        </w:rPr>
        <w:tab/>
      </w:r>
      <w:r w:rsidR="00E10C3D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84081" w:rsidRPr="00203946">
        <w:rPr>
          <w:rFonts w:ascii="Times New Roman" w:hAnsi="Times New Roman" w:cs="Times New Roman"/>
          <w:i/>
          <w:sz w:val="20"/>
          <w:szCs w:val="20"/>
        </w:rPr>
        <w:t>хил. лева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754"/>
        <w:gridCol w:w="1124"/>
        <w:gridCol w:w="1107"/>
        <w:gridCol w:w="1115"/>
        <w:gridCol w:w="1116"/>
        <w:gridCol w:w="1403"/>
        <w:gridCol w:w="1443"/>
      </w:tblGrid>
      <w:tr w:rsidR="00335A4A" w:rsidRPr="00FD1E4E" w14:paraId="5D7A5081" w14:textId="77777777" w:rsidTr="003351E5">
        <w:trPr>
          <w:trHeight w:val="240"/>
        </w:trPr>
        <w:tc>
          <w:tcPr>
            <w:tcW w:w="9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BDD6EE" w:themeFill="accent1" w:themeFillTint="66"/>
            <w:vAlign w:val="bottom"/>
            <w:hideMark/>
          </w:tcPr>
          <w:p w14:paraId="6BCAB4BA" w14:textId="77777777" w:rsidR="00D43066" w:rsidRPr="00D43066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43066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A842234" w14:textId="57729DE1" w:rsidR="00D43066" w:rsidRPr="00FD1E4E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2C27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A210E9E" w14:textId="4DC1F9B7" w:rsidR="00D43066" w:rsidRPr="00FD1E4E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2C27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13A8231" w14:textId="7B76D383" w:rsidR="00D43066" w:rsidRPr="00FD1E4E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2C27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CA14D85" w14:textId="622A0615" w:rsidR="00D43066" w:rsidRPr="00FD1E4E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2C27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7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327B83E" w14:textId="6496B65B" w:rsidR="00D43066" w:rsidRPr="00FD1E4E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2C27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г.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5D3E80E" w14:textId="6F5E7358" w:rsidR="00D43066" w:rsidRPr="00FD1E4E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2C27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г.</w:t>
            </w:r>
          </w:p>
        </w:tc>
      </w:tr>
      <w:tr w:rsidR="00335A4A" w:rsidRPr="00FD1E4E" w14:paraId="3C98FE2C" w14:textId="77777777" w:rsidTr="003351E5">
        <w:trPr>
          <w:trHeight w:val="240"/>
        </w:trPr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BDD6EE" w:themeFill="accent1" w:themeFillTint="66"/>
            <w:vAlign w:val="center"/>
            <w:hideMark/>
          </w:tcPr>
          <w:p w14:paraId="386F4299" w14:textId="77777777" w:rsidR="00D43066" w:rsidRPr="00FD1E4E" w:rsidRDefault="00D43066" w:rsidP="00D430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F5ACA57" w14:textId="77777777" w:rsidR="00D43066" w:rsidRPr="00FD1E4E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Отчет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112E83" w14:textId="77777777" w:rsidR="00D43066" w:rsidRPr="00FD1E4E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325FA9" w14:textId="77777777" w:rsidR="00D43066" w:rsidRPr="00FD1E4E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8CAAD6" w14:textId="77777777" w:rsidR="00D43066" w:rsidRPr="00FD1E4E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582C8C7" w14:textId="77777777" w:rsidR="00D43066" w:rsidRPr="00FD1E4E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5D6FDC" w14:textId="77777777" w:rsidR="00D43066" w:rsidRPr="00FD1E4E" w:rsidRDefault="00D43066" w:rsidP="00D43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</w:tr>
      <w:tr w:rsidR="00186E9C" w:rsidRPr="00FD1E4E" w14:paraId="2348212E" w14:textId="77777777" w:rsidTr="00DA7C2E">
        <w:trPr>
          <w:trHeight w:val="540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C11D" w14:textId="1DAF3508" w:rsidR="00186E9C" w:rsidRPr="00FD1E4E" w:rsidRDefault="00186E9C" w:rsidP="00186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1E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Разходи по икономически елементи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C5B49" w14:textId="2D0C75F9" w:rsidR="00186E9C" w:rsidRPr="00281CA4" w:rsidRDefault="00AF5C30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(1 752 917)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F2FB" w14:textId="54ACC646" w:rsidR="00186E9C" w:rsidRPr="00F9201E" w:rsidRDefault="00F9201E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(1 745 571)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83DE" w14:textId="642FCA25" w:rsidR="00186E9C" w:rsidRPr="00F9201E" w:rsidRDefault="00F9201E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(1 575 920)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98B7" w14:textId="4DAF1AC0" w:rsidR="00186E9C" w:rsidRPr="00F9201E" w:rsidRDefault="00F9201E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</w:t>
            </w:r>
            <w:r w:rsidR="00372E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="00372E3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12 274)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7FBE" w14:textId="68C9B524" w:rsidR="00186E9C" w:rsidRPr="00372E38" w:rsidRDefault="00372E38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(1 709 526)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7F01" w14:textId="48FFC6A2" w:rsidR="00186E9C" w:rsidRPr="00372E38" w:rsidRDefault="00372E38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(1 801 802)</w:t>
            </w:r>
          </w:p>
        </w:tc>
      </w:tr>
      <w:tr w:rsidR="00186E9C" w:rsidRPr="00FD1E4E" w14:paraId="7D51B328" w14:textId="77777777" w:rsidTr="00DA7C2E">
        <w:trPr>
          <w:trHeight w:val="510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B70E" w14:textId="3883AACB" w:rsidR="00186E9C" w:rsidRPr="00FD1E4E" w:rsidRDefault="00186E9C" w:rsidP="00186E9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1E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Отчетна стойност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 </w:t>
            </w:r>
            <w:r w:rsidRPr="00FD1E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продадения природен газ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69A7" w14:textId="696717C8" w:rsidR="00186E9C" w:rsidRPr="00F9201E" w:rsidRDefault="00F9201E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(1 316 578)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1623" w14:textId="39C4593D" w:rsidR="00186E9C" w:rsidRPr="00F9201E" w:rsidRDefault="00F9201E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(1 544 671)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4144" w14:textId="4128E70B" w:rsidR="00186E9C" w:rsidRPr="00372E38" w:rsidRDefault="00372E38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102A3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1 463 557)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8D9D" w14:textId="1BFAC04D" w:rsidR="00186E9C" w:rsidRPr="00102A3F" w:rsidRDefault="00102A3F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(1 494 721)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BDEA" w14:textId="78AF2FF8" w:rsidR="00186E9C" w:rsidRPr="00102A3F" w:rsidRDefault="00102A3F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(1 585 304)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99D7" w14:textId="33FA0725" w:rsidR="00186E9C" w:rsidRPr="00102A3F" w:rsidRDefault="00102A3F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(1 693 498)</w:t>
            </w:r>
          </w:p>
        </w:tc>
      </w:tr>
      <w:tr w:rsidR="00186E9C" w:rsidRPr="00D43066" w14:paraId="728AD5AD" w14:textId="77777777" w:rsidTr="00DA7C2E">
        <w:trPr>
          <w:trHeight w:val="585"/>
        </w:trPr>
        <w:tc>
          <w:tcPr>
            <w:tcW w:w="9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EEA8" w14:textId="326B12DF" w:rsidR="00186E9C" w:rsidRPr="00FD1E4E" w:rsidRDefault="00186E9C" w:rsidP="00186E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FD1E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Съотношение на себестойност на природен газ и общо разходи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A76E1" w14:textId="38FBD34D" w:rsidR="00186E9C" w:rsidRPr="00AD2A78" w:rsidRDefault="00AD2A78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75,</w:t>
            </w:r>
            <w:r w:rsidR="00DA752D"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%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5307" w14:textId="32ACB134" w:rsidR="00186E9C" w:rsidRPr="00AD2A78" w:rsidRDefault="00AD2A78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88,49%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23B6" w14:textId="2C5A8F2F" w:rsidR="00186E9C" w:rsidRPr="00AD2A78" w:rsidRDefault="00AD2A78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92,87%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3EABC" w14:textId="7AB29900" w:rsidR="00186E9C" w:rsidRPr="004A6E89" w:rsidRDefault="004A6E89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92,71%</w:t>
            </w: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249C" w14:textId="09893418" w:rsidR="00186E9C" w:rsidRPr="004A6E89" w:rsidRDefault="004A6E89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92,73%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64751" w14:textId="50172BC9" w:rsidR="00186E9C" w:rsidRPr="004A6E89" w:rsidRDefault="004A6E89" w:rsidP="00186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93,99%</w:t>
            </w:r>
          </w:p>
        </w:tc>
      </w:tr>
    </w:tbl>
    <w:p w14:paraId="07CF7B72" w14:textId="04272BA5" w:rsidR="004410D0" w:rsidRDefault="004410D0" w:rsidP="008145DC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6E3D426" w14:textId="50899BF0" w:rsidR="00737CA8" w:rsidRPr="006C0F6E" w:rsidRDefault="00B01FC1" w:rsidP="006C0F6E">
      <w:pPr>
        <w:spacing w:after="120" w:line="300" w:lineRule="auto"/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отчет за </w:t>
      </w:r>
      <w:r w:rsidRPr="00752AF9">
        <w:rPr>
          <w:rFonts w:ascii="Times New Roman" w:hAnsi="Times New Roman"/>
          <w:sz w:val="20"/>
          <w:szCs w:val="20"/>
        </w:rPr>
        <w:t>2</w:t>
      </w:r>
      <w:r w:rsidRPr="00D7592E"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2</w:t>
      </w:r>
      <w:r w:rsidR="002C27DF">
        <w:rPr>
          <w:rFonts w:ascii="Times New Roman" w:hAnsi="Times New Roman"/>
          <w:sz w:val="20"/>
          <w:szCs w:val="20"/>
        </w:rPr>
        <w:t>4</w:t>
      </w:r>
      <w:r w:rsidRPr="00752AF9">
        <w:rPr>
          <w:rFonts w:ascii="Times New Roman" w:hAnsi="Times New Roman"/>
          <w:sz w:val="20"/>
          <w:szCs w:val="20"/>
        </w:rPr>
        <w:t xml:space="preserve"> </w:t>
      </w:r>
      <w:r w:rsidRPr="00D7592E">
        <w:rPr>
          <w:rFonts w:ascii="Times New Roman" w:hAnsi="Times New Roman"/>
          <w:sz w:val="20"/>
          <w:szCs w:val="20"/>
        </w:rPr>
        <w:t>г. е налице по-</w:t>
      </w:r>
      <w:r w:rsidR="00927E54">
        <w:rPr>
          <w:rFonts w:ascii="Times New Roman" w:hAnsi="Times New Roman"/>
          <w:sz w:val="20"/>
          <w:szCs w:val="20"/>
        </w:rPr>
        <w:t>ниска</w:t>
      </w:r>
      <w:r w:rsidRPr="00D7592E">
        <w:rPr>
          <w:rFonts w:ascii="Times New Roman" w:hAnsi="Times New Roman"/>
          <w:sz w:val="20"/>
          <w:szCs w:val="20"/>
        </w:rPr>
        <w:t xml:space="preserve"> себестойност на продадения природен газ спрямо планираната</w:t>
      </w:r>
      <w:r w:rsidRPr="007A5C21">
        <w:rPr>
          <w:rFonts w:ascii="Times New Roman" w:hAnsi="Times New Roman"/>
          <w:sz w:val="20"/>
          <w:szCs w:val="20"/>
        </w:rPr>
        <w:t>. Това се дължи на по-</w:t>
      </w:r>
      <w:r w:rsidR="00927E54" w:rsidRPr="009774FF">
        <w:rPr>
          <w:rFonts w:ascii="Times New Roman" w:hAnsi="Times New Roman"/>
          <w:sz w:val="20"/>
          <w:szCs w:val="20"/>
        </w:rPr>
        <w:t>ниск</w:t>
      </w:r>
      <w:r w:rsidRPr="009774FF">
        <w:rPr>
          <w:rFonts w:ascii="Times New Roman" w:hAnsi="Times New Roman"/>
          <w:sz w:val="20"/>
          <w:szCs w:val="20"/>
        </w:rPr>
        <w:t xml:space="preserve">ите </w:t>
      </w:r>
      <w:proofErr w:type="spellStart"/>
      <w:r w:rsidRPr="009774FF">
        <w:rPr>
          <w:rFonts w:ascii="Times New Roman" w:hAnsi="Times New Roman"/>
          <w:sz w:val="20"/>
          <w:szCs w:val="20"/>
        </w:rPr>
        <w:t>доставни</w:t>
      </w:r>
      <w:proofErr w:type="spellEnd"/>
      <w:r w:rsidRPr="009774FF">
        <w:rPr>
          <w:rFonts w:ascii="Times New Roman" w:hAnsi="Times New Roman"/>
          <w:sz w:val="20"/>
          <w:szCs w:val="20"/>
        </w:rPr>
        <w:t xml:space="preserve"> цени</w:t>
      </w:r>
      <w:r w:rsidRPr="007A5C21">
        <w:rPr>
          <w:rFonts w:ascii="Times New Roman" w:hAnsi="Times New Roman"/>
          <w:sz w:val="20"/>
          <w:szCs w:val="20"/>
        </w:rPr>
        <w:t xml:space="preserve"> на природен газ</w:t>
      </w:r>
      <w:r w:rsidR="00672712" w:rsidRPr="007A5C21">
        <w:rPr>
          <w:rFonts w:ascii="Times New Roman" w:hAnsi="Times New Roman"/>
          <w:sz w:val="20"/>
          <w:szCs w:val="20"/>
          <w:lang w:val="en-US"/>
        </w:rPr>
        <w:t>,</w:t>
      </w:r>
      <w:r w:rsidRPr="007A5C21">
        <w:rPr>
          <w:rFonts w:ascii="Times New Roman" w:hAnsi="Times New Roman"/>
          <w:sz w:val="20"/>
          <w:szCs w:val="20"/>
        </w:rPr>
        <w:t xml:space="preserve"> спрямо планираните.</w:t>
      </w:r>
    </w:p>
    <w:p w14:paraId="2D4EA2C0" w14:textId="2E5C32C3" w:rsidR="00FC5C00" w:rsidRDefault="00531CA5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>Цен</w:t>
      </w:r>
      <w:r w:rsidR="00B35D2E">
        <w:rPr>
          <w:rFonts w:ascii="Times New Roman" w:hAnsi="Times New Roman" w:cs="Times New Roman"/>
          <w:color w:val="000000"/>
          <w:sz w:val="20"/>
          <w:szCs w:val="20"/>
        </w:rPr>
        <w:t>ата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, по ко</w:t>
      </w:r>
      <w:r w:rsidR="00B35D2E">
        <w:rPr>
          <w:rFonts w:ascii="Times New Roman" w:hAnsi="Times New Roman" w:cs="Times New Roman"/>
          <w:color w:val="000000"/>
          <w:sz w:val="20"/>
          <w:szCs w:val="20"/>
        </w:rPr>
        <w:t>я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то „Булгаргаз“ ЕАД купува природния газ, съгласно условията на</w:t>
      </w:r>
      <w:r w:rsidR="009A3580">
        <w:rPr>
          <w:rFonts w:ascii="Times New Roman" w:hAnsi="Times New Roman" w:cs="Times New Roman"/>
          <w:color w:val="000000"/>
          <w:sz w:val="20"/>
          <w:szCs w:val="20"/>
        </w:rPr>
        <w:t xml:space="preserve"> договори с доставчици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35D2E"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обвързана с </w:t>
      </w:r>
      <w:r w:rsidR="00B35D2E">
        <w:rPr>
          <w:rFonts w:ascii="Times New Roman" w:hAnsi="Times New Roman" w:cs="Times New Roman"/>
          <w:color w:val="000000"/>
          <w:sz w:val="20"/>
          <w:szCs w:val="20"/>
        </w:rPr>
        <w:t xml:space="preserve">международните котировки на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цените на алтернативните на природния газ горива</w:t>
      </w:r>
      <w:r w:rsidR="006E06CA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B13B0B">
        <w:rPr>
          <w:rFonts w:ascii="Times New Roman" w:hAnsi="Times New Roman" w:cs="Times New Roman"/>
          <w:color w:val="000000"/>
          <w:sz w:val="20"/>
          <w:szCs w:val="20"/>
        </w:rPr>
        <w:t>международните</w:t>
      </w:r>
      <w:r w:rsidR="00A4155A">
        <w:rPr>
          <w:rFonts w:ascii="Times New Roman" w:hAnsi="Times New Roman" w:cs="Times New Roman"/>
          <w:color w:val="000000"/>
          <w:sz w:val="20"/>
          <w:szCs w:val="20"/>
        </w:rPr>
        <w:t xml:space="preserve"> котировки на </w:t>
      </w:r>
      <w:r w:rsidR="00C60EB6">
        <w:rPr>
          <w:rFonts w:ascii="Times New Roman" w:hAnsi="Times New Roman" w:cs="Times New Roman"/>
          <w:color w:val="000000"/>
          <w:sz w:val="20"/>
          <w:szCs w:val="20"/>
        </w:rPr>
        <w:t>газовата борса</w:t>
      </w:r>
      <w:r w:rsidR="00D2002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TTF </w:t>
      </w:r>
      <w:r w:rsidR="00B35D2E">
        <w:rPr>
          <w:rFonts w:ascii="Times New Roman" w:hAnsi="Times New Roman" w:cs="Times New Roman"/>
          <w:color w:val="000000"/>
          <w:sz w:val="20"/>
          <w:szCs w:val="20"/>
        </w:rPr>
        <w:t>и валутния курс на щатския долар</w:t>
      </w:r>
      <w:r w:rsidR="00D20029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D20029">
        <w:rPr>
          <w:rFonts w:ascii="Times New Roman" w:hAnsi="Times New Roman" w:cs="Times New Roman"/>
          <w:color w:val="000000"/>
          <w:sz w:val="20"/>
          <w:szCs w:val="20"/>
        </w:rPr>
        <w:t xml:space="preserve">спрямо </w:t>
      </w:r>
      <w:r w:rsidR="00A0760C">
        <w:rPr>
          <w:rFonts w:ascii="Times New Roman" w:hAnsi="Times New Roman" w:cs="Times New Roman"/>
          <w:color w:val="000000"/>
          <w:sz w:val="20"/>
          <w:szCs w:val="20"/>
          <w:lang w:val="en-US"/>
        </w:rPr>
        <w:t>EUR</w:t>
      </w:r>
      <w:r w:rsidR="009A682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r w:rsidR="009A682F"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r w:rsidR="009A682F">
        <w:rPr>
          <w:rFonts w:ascii="Times New Roman" w:hAnsi="Times New Roman" w:cs="Times New Roman"/>
          <w:color w:val="000000"/>
          <w:sz w:val="20"/>
          <w:szCs w:val="20"/>
          <w:lang w:val="en-US"/>
        </w:rPr>
        <w:t>BGN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, върху които Дружеството няма влияние. </w:t>
      </w:r>
    </w:p>
    <w:p w14:paraId="3CC67DA3" w14:textId="1E23DFD7" w:rsidR="00F720A1" w:rsidRPr="00393B75" w:rsidRDefault="00C07B29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Поради тази причина, представеният </w:t>
      </w:r>
      <w:r w:rsidR="004975A2">
        <w:rPr>
          <w:rFonts w:ascii="Times New Roman" w:hAnsi="Times New Roman" w:cs="Times New Roman"/>
          <w:color w:val="000000"/>
          <w:sz w:val="20"/>
          <w:szCs w:val="20"/>
        </w:rPr>
        <w:t xml:space="preserve">отчет </w:t>
      </w:r>
      <w:r w:rsidR="00564B91">
        <w:rPr>
          <w:rFonts w:ascii="Times New Roman" w:hAnsi="Times New Roman" w:cs="Times New Roman"/>
          <w:color w:val="000000"/>
          <w:sz w:val="20"/>
          <w:szCs w:val="20"/>
        </w:rPr>
        <w:t xml:space="preserve">за изпълнение на плана 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за оптимизиране на разходите на </w:t>
      </w:r>
      <w:r w:rsidR="008D32EB" w:rsidRPr="0083604A">
        <w:rPr>
          <w:rFonts w:ascii="Times New Roman" w:hAnsi="Times New Roman" w:cs="Times New Roman"/>
          <w:color w:val="000000"/>
          <w:sz w:val="20"/>
          <w:szCs w:val="20"/>
        </w:rPr>
        <w:t>„Булгаргаз“ ЕАД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се фокусира върху останалит</w:t>
      </w:r>
      <w:r w:rsidR="00A00604">
        <w:rPr>
          <w:rFonts w:ascii="Times New Roman" w:hAnsi="Times New Roman" w:cs="Times New Roman"/>
          <w:color w:val="000000"/>
          <w:sz w:val="20"/>
          <w:szCs w:val="20"/>
        </w:rPr>
        <w:t>е разходи на Д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ружеството (равни</w:t>
      </w:r>
      <w:r w:rsidR="00E2759C">
        <w:rPr>
          <w:rFonts w:ascii="Times New Roman" w:hAnsi="Times New Roman" w:cs="Times New Roman"/>
          <w:color w:val="000000"/>
          <w:sz w:val="20"/>
          <w:szCs w:val="20"/>
        </w:rPr>
        <w:t xml:space="preserve"> на около </w:t>
      </w:r>
      <w:r w:rsidR="00393B75">
        <w:rPr>
          <w:rFonts w:ascii="Times New Roman" w:hAnsi="Times New Roman" w:cs="Times New Roman"/>
          <w:color w:val="000000"/>
          <w:sz w:val="20"/>
          <w:szCs w:val="20"/>
          <w:lang w:val="en-US"/>
        </w:rPr>
        <w:t>2</w:t>
      </w:r>
      <w:r w:rsidR="00EA5D65">
        <w:rPr>
          <w:rFonts w:ascii="Times New Roman" w:hAnsi="Times New Roman" w:cs="Times New Roman"/>
          <w:color w:val="000000"/>
          <w:sz w:val="20"/>
          <w:szCs w:val="20"/>
          <w:lang w:val="en-US"/>
        </w:rPr>
        <w:t>5</w:t>
      </w:r>
      <w:r w:rsidR="00393B75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% </w:t>
      </w:r>
      <w:r w:rsidR="00F720A1">
        <w:rPr>
          <w:rFonts w:ascii="Times New Roman" w:hAnsi="Times New Roman" w:cs="Times New Roman"/>
          <w:color w:val="000000"/>
          <w:sz w:val="20"/>
          <w:szCs w:val="20"/>
        </w:rPr>
        <w:t>от всички разходи</w:t>
      </w:r>
      <w:r w:rsidR="00B26FC2">
        <w:rPr>
          <w:rFonts w:ascii="Times New Roman" w:hAnsi="Times New Roman" w:cs="Times New Roman"/>
          <w:color w:val="000000"/>
          <w:sz w:val="20"/>
          <w:szCs w:val="20"/>
        </w:rPr>
        <w:t xml:space="preserve"> през 2024 г. и </w:t>
      </w:r>
      <w:r w:rsidR="00DF7FA5">
        <w:rPr>
          <w:rFonts w:ascii="Times New Roman" w:hAnsi="Times New Roman" w:cs="Times New Roman"/>
          <w:color w:val="000000"/>
          <w:sz w:val="20"/>
          <w:szCs w:val="20"/>
        </w:rPr>
        <w:t>на около 8 % през следващите години</w:t>
      </w:r>
      <w:r w:rsidR="00F720A1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14:paraId="5B092A9C" w14:textId="2BAF87DF" w:rsidR="00F72EFA" w:rsidRDefault="00F720A1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В изпълнение на горепосочената Наредба, след анализиране на извършените</w:t>
      </w:r>
      <w:r w:rsidR="00564B91">
        <w:rPr>
          <w:rFonts w:ascii="Times New Roman" w:hAnsi="Times New Roman" w:cs="Times New Roman"/>
          <w:color w:val="000000"/>
          <w:sz w:val="20"/>
          <w:szCs w:val="20"/>
        </w:rPr>
        <w:t xml:space="preserve"> и планираните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през </w:t>
      </w:r>
      <w:r w:rsidR="00AB2A02">
        <w:rPr>
          <w:rFonts w:ascii="Times New Roman" w:hAnsi="Times New Roman" w:cs="Times New Roman"/>
          <w:color w:val="000000"/>
          <w:sz w:val="20"/>
          <w:szCs w:val="20"/>
        </w:rPr>
        <w:t>202</w:t>
      </w:r>
      <w:r w:rsidR="00E11FA1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AB2A02">
        <w:rPr>
          <w:rFonts w:ascii="Times New Roman" w:hAnsi="Times New Roman" w:cs="Times New Roman"/>
          <w:color w:val="000000"/>
          <w:sz w:val="20"/>
          <w:szCs w:val="20"/>
        </w:rPr>
        <w:t xml:space="preserve"> г. разходи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AB2A02">
        <w:rPr>
          <w:rFonts w:ascii="Times New Roman" w:hAnsi="Times New Roman" w:cs="Times New Roman"/>
          <w:color w:val="000000"/>
          <w:sz w:val="20"/>
          <w:szCs w:val="20"/>
        </w:rPr>
        <w:t xml:space="preserve">са </w:t>
      </w:r>
      <w:r w:rsidR="00F72EFA">
        <w:rPr>
          <w:rFonts w:ascii="Times New Roman" w:hAnsi="Times New Roman" w:cs="Times New Roman"/>
          <w:color w:val="000000"/>
          <w:sz w:val="20"/>
          <w:szCs w:val="20"/>
        </w:rPr>
        <w:t xml:space="preserve">взети предвид </w:t>
      </w:r>
      <w:r>
        <w:rPr>
          <w:rFonts w:ascii="Times New Roman" w:hAnsi="Times New Roman" w:cs="Times New Roman"/>
          <w:color w:val="000000"/>
          <w:sz w:val="20"/>
          <w:szCs w:val="20"/>
        </w:rPr>
        <w:t>основните макроикономически показатели за страната прогнозирани от Министерството на финансите</w:t>
      </w:r>
      <w:r w:rsidR="00B35D2E">
        <w:rPr>
          <w:rFonts w:ascii="Times New Roman" w:hAnsi="Times New Roman" w:cs="Times New Roman"/>
          <w:color w:val="000000"/>
          <w:sz w:val="20"/>
          <w:szCs w:val="20"/>
        </w:rPr>
        <w:t xml:space="preserve"> и заложени при изготвянето на Държавния бюджет на Република България за</w:t>
      </w:r>
      <w:r w:rsidR="009E1FA2">
        <w:rPr>
          <w:rFonts w:ascii="Times New Roman" w:hAnsi="Times New Roman" w:cs="Times New Roman"/>
          <w:color w:val="000000"/>
          <w:sz w:val="20"/>
          <w:szCs w:val="20"/>
        </w:rPr>
        <w:t xml:space="preserve"> периода </w:t>
      </w:r>
      <w:r w:rsidR="009E1FA2" w:rsidRPr="00425E1E">
        <w:rPr>
          <w:rFonts w:ascii="Times New Roman" w:hAnsi="Times New Roman" w:cs="Times New Roman"/>
          <w:color w:val="000000"/>
          <w:sz w:val="20"/>
          <w:szCs w:val="20"/>
        </w:rPr>
        <w:t>до 202</w:t>
      </w:r>
      <w:r w:rsidR="0032629D" w:rsidRPr="00425E1E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263DCB" w:rsidRPr="00425E1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E1FA2" w:rsidRPr="00425E1E">
        <w:rPr>
          <w:rFonts w:ascii="Times New Roman" w:hAnsi="Times New Roman" w:cs="Times New Roman"/>
          <w:color w:val="000000"/>
          <w:sz w:val="20"/>
          <w:szCs w:val="20"/>
        </w:rPr>
        <w:t>г.</w:t>
      </w:r>
    </w:p>
    <w:p w14:paraId="67D8991C" w14:textId="1AD5F67D" w:rsidR="00E80461" w:rsidRPr="00E80461" w:rsidRDefault="00F72EFA" w:rsidP="00E80461">
      <w:pPr>
        <w:spacing w:after="120" w:line="300" w:lineRule="auto"/>
        <w:ind w:firstLine="706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Разходите на „Булгаргаз“ ЕАД </w:t>
      </w:r>
      <w:r w:rsidR="004144F5">
        <w:rPr>
          <w:rFonts w:ascii="Times New Roman" w:hAnsi="Times New Roman" w:cs="Times New Roman"/>
          <w:color w:val="000000"/>
          <w:sz w:val="20"/>
          <w:szCs w:val="20"/>
        </w:rPr>
        <w:t>за 202</w:t>
      </w:r>
      <w:r w:rsidR="0060286B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4144F5">
        <w:rPr>
          <w:rFonts w:ascii="Times New Roman" w:hAnsi="Times New Roman" w:cs="Times New Roman"/>
          <w:color w:val="000000"/>
          <w:sz w:val="20"/>
          <w:szCs w:val="20"/>
        </w:rPr>
        <w:t xml:space="preserve"> г. по тримесечия съпоставени с планираните </w:t>
      </w:r>
      <w:r w:rsidR="00B861CA">
        <w:rPr>
          <w:rFonts w:ascii="Times New Roman" w:hAnsi="Times New Roman" w:cs="Times New Roman"/>
          <w:color w:val="000000"/>
          <w:sz w:val="20"/>
          <w:szCs w:val="20"/>
        </w:rPr>
        <w:t xml:space="preserve">са </w:t>
      </w:r>
      <w:r w:rsidR="00E40495">
        <w:rPr>
          <w:rFonts w:ascii="Times New Roman" w:hAnsi="Times New Roman" w:cs="Times New Roman"/>
          <w:color w:val="000000"/>
          <w:sz w:val="20"/>
          <w:szCs w:val="20"/>
        </w:rPr>
        <w:t xml:space="preserve">показани в </w:t>
      </w:r>
      <w:r w:rsidR="00B861CA" w:rsidRPr="00C63A43">
        <w:rPr>
          <w:rFonts w:ascii="Times New Roman" w:hAnsi="Times New Roman" w:cs="Times New Roman"/>
          <w:i/>
          <w:iCs/>
          <w:color w:val="000000"/>
          <w:sz w:val="20"/>
          <w:szCs w:val="20"/>
        </w:rPr>
        <w:t>Т</w:t>
      </w:r>
      <w:r w:rsidR="00E40495" w:rsidRPr="00C63A43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аблица № 2</w:t>
      </w:r>
      <w:r w:rsidR="00B861CA" w:rsidRPr="00C63A43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и № 3</w:t>
      </w:r>
      <w:r w:rsidR="00C63A43" w:rsidRPr="00C63A43">
        <w:rPr>
          <w:rFonts w:ascii="Times New Roman" w:hAnsi="Times New Roman" w:cs="Times New Roman"/>
          <w:i/>
          <w:iCs/>
          <w:color w:val="000000"/>
          <w:sz w:val="20"/>
          <w:szCs w:val="20"/>
        </w:rPr>
        <w:t>.</w:t>
      </w:r>
    </w:p>
    <w:p w14:paraId="164185C2" w14:textId="22804B4A" w:rsidR="00D04A85" w:rsidRPr="00B32911" w:rsidRDefault="00D04A85" w:rsidP="00B329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3A43">
        <w:rPr>
          <w:rFonts w:ascii="Times New Roman" w:hAnsi="Times New Roman" w:cs="Times New Roman"/>
          <w:i/>
          <w:iCs/>
          <w:sz w:val="20"/>
          <w:szCs w:val="20"/>
        </w:rPr>
        <w:t>Таблица №</w:t>
      </w:r>
      <w:r w:rsidR="005C36F0" w:rsidRPr="00C63A4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01FC1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512AF3">
        <w:rPr>
          <w:rFonts w:ascii="Times New Roman" w:hAnsi="Times New Roman" w:cs="Times New Roman"/>
          <w:sz w:val="20"/>
          <w:szCs w:val="20"/>
        </w:rPr>
        <w:t xml:space="preserve">        </w:t>
      </w:r>
      <w:r w:rsidR="00B32911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83604A">
        <w:rPr>
          <w:rFonts w:ascii="Times New Roman" w:hAnsi="Times New Roman" w:cs="Times New Roman"/>
          <w:sz w:val="20"/>
          <w:szCs w:val="20"/>
        </w:rPr>
        <w:t xml:space="preserve"> </w:t>
      </w:r>
      <w:r w:rsidRPr="0068387E">
        <w:rPr>
          <w:rFonts w:ascii="Times New Roman" w:hAnsi="Times New Roman" w:cs="Times New Roman"/>
          <w:i/>
          <w:sz w:val="20"/>
          <w:szCs w:val="20"/>
        </w:rPr>
        <w:t>хил. лева</w:t>
      </w:r>
    </w:p>
    <w:tbl>
      <w:tblPr>
        <w:tblW w:w="5241" w:type="pct"/>
        <w:tblInd w:w="-5" w:type="dxa"/>
        <w:tblLook w:val="04A0" w:firstRow="1" w:lastRow="0" w:firstColumn="1" w:lastColumn="0" w:noHBand="0" w:noVBand="1"/>
      </w:tblPr>
      <w:tblGrid>
        <w:gridCol w:w="2262"/>
        <w:gridCol w:w="804"/>
        <w:gridCol w:w="889"/>
        <w:gridCol w:w="889"/>
        <w:gridCol w:w="891"/>
        <w:gridCol w:w="889"/>
        <w:gridCol w:w="1032"/>
        <w:gridCol w:w="870"/>
        <w:gridCol w:w="973"/>
      </w:tblGrid>
      <w:tr w:rsidR="00EF42FE" w:rsidRPr="00927E54" w14:paraId="2644E001" w14:textId="77777777" w:rsidTr="00A8154C">
        <w:trPr>
          <w:trHeight w:val="540"/>
        </w:trPr>
        <w:tc>
          <w:tcPr>
            <w:tcW w:w="1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0BFA1D5F" w14:textId="77777777" w:rsidR="00B60095" w:rsidRPr="00B60095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6009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5457445" w14:textId="6E870422" w:rsidR="00B60095" w:rsidRPr="00927E54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 тримесечие 202</w:t>
            </w:r>
            <w:r w:rsidR="00F056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301412"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48A3BBB" w14:textId="0EB73DE4" w:rsidR="00B60095" w:rsidRPr="00927E54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 тримесечие 202</w:t>
            </w:r>
            <w:r w:rsidR="00F056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301412"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10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224568" w14:textId="48D5AEB0" w:rsidR="00B60095" w:rsidRPr="00927E54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III тримесечие 202</w:t>
            </w:r>
            <w:r w:rsidR="00F056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301412"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г.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BCD83C4" w14:textId="10523D7E" w:rsidR="00B60095" w:rsidRPr="00927E54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IV тримесечие 202</w:t>
            </w:r>
            <w:r w:rsidR="00F056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301412"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г.</w:t>
            </w:r>
          </w:p>
        </w:tc>
      </w:tr>
      <w:tr w:rsidR="00A8154C" w:rsidRPr="00927E54" w14:paraId="61981EBB" w14:textId="77777777" w:rsidTr="00A8154C">
        <w:trPr>
          <w:trHeight w:val="300"/>
        </w:trPr>
        <w:tc>
          <w:tcPr>
            <w:tcW w:w="1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B524C1F" w14:textId="77777777" w:rsidR="00B60095" w:rsidRPr="00927E54" w:rsidRDefault="00B60095" w:rsidP="00B6009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F3F1F38" w14:textId="77777777" w:rsidR="00B60095" w:rsidRPr="00927E54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Отчет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9D9F02" w14:textId="77777777" w:rsidR="00B60095" w:rsidRPr="00927E54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E9C647" w14:textId="77777777" w:rsidR="00B60095" w:rsidRPr="00927E54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Отчет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684E43" w14:textId="77777777" w:rsidR="00B60095" w:rsidRPr="00927E54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8F2A39" w14:textId="77777777" w:rsidR="00B60095" w:rsidRPr="00927E54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Отчет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5383ED" w14:textId="77777777" w:rsidR="00B60095" w:rsidRPr="00927E54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F91647" w14:textId="77777777" w:rsidR="00B60095" w:rsidRPr="00927E54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Отчет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D8934E" w14:textId="77777777" w:rsidR="00B60095" w:rsidRPr="00927E54" w:rsidRDefault="00B60095" w:rsidP="00B60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План</w:t>
            </w:r>
          </w:p>
        </w:tc>
      </w:tr>
      <w:tr w:rsidR="00323A0A" w:rsidRPr="00927E54" w14:paraId="396A1D94" w14:textId="77777777" w:rsidTr="00A8154C">
        <w:trPr>
          <w:trHeight w:val="240"/>
        </w:trPr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FCE77" w14:textId="77777777" w:rsidR="00323A0A" w:rsidRPr="00927E54" w:rsidRDefault="00323A0A" w:rsidP="00323A0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материали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07F99" w14:textId="0CF64497" w:rsidR="00323A0A" w:rsidRPr="00BF39BC" w:rsidRDefault="00323A0A" w:rsidP="00323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(12)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BFEA8" w14:textId="5EB20615" w:rsidR="00323A0A" w:rsidRPr="00BF39BC" w:rsidRDefault="00323A0A" w:rsidP="00323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(45)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51FFD" w14:textId="6EA03A6E" w:rsidR="00323A0A" w:rsidRPr="00BF39BC" w:rsidRDefault="00323A0A" w:rsidP="00323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(16)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90627" w14:textId="13EE6FE5" w:rsidR="00323A0A" w:rsidRPr="00BF39BC" w:rsidRDefault="00323A0A" w:rsidP="00323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(47)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DC674" w14:textId="3D476741" w:rsidR="00323A0A" w:rsidRPr="00BF39BC" w:rsidRDefault="00323A0A" w:rsidP="00323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(10)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A34A80" w14:textId="7750F1E4" w:rsidR="00323A0A" w:rsidRPr="00BF39BC" w:rsidRDefault="00323A0A" w:rsidP="00323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(155)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DDBBA" w14:textId="775CAA64" w:rsidR="00323A0A" w:rsidRPr="00BF39BC" w:rsidRDefault="00323A0A" w:rsidP="00323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(16)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35680" w14:textId="3901B431" w:rsidR="00323A0A" w:rsidRPr="00BF39BC" w:rsidRDefault="00323A0A" w:rsidP="00323A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(72)</w:t>
            </w:r>
          </w:p>
        </w:tc>
      </w:tr>
      <w:tr w:rsidR="000B4EA1" w:rsidRPr="00927E54" w14:paraId="718C761F" w14:textId="77777777" w:rsidTr="00A8154C">
        <w:trPr>
          <w:trHeight w:val="240"/>
        </w:trPr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D8FA2" w14:textId="77777777" w:rsidR="000B4EA1" w:rsidRPr="00927E54" w:rsidRDefault="000B4EA1" w:rsidP="000B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външни услуги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BFDAA" w14:textId="068C6B36" w:rsidR="000B4EA1" w:rsidRPr="00BF39BC" w:rsidRDefault="000B4EA1" w:rsidP="000B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(3 911)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F2500" w14:textId="53F99CD4" w:rsidR="000B4EA1" w:rsidRPr="00BF39BC" w:rsidRDefault="000B4EA1" w:rsidP="000B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(6 742)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B13FE" w14:textId="2A026348" w:rsidR="000B4EA1" w:rsidRPr="00BF39BC" w:rsidRDefault="000B4EA1" w:rsidP="000B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(7 876)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ACA72" w14:textId="38A79B12" w:rsidR="000B4EA1" w:rsidRPr="00BF39BC" w:rsidRDefault="000B4EA1" w:rsidP="000B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(6 465)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542B7" w14:textId="10F4DA2F" w:rsidR="000B4EA1" w:rsidRPr="00BF39BC" w:rsidRDefault="000B4EA1" w:rsidP="000B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(8 815)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D555F" w14:textId="1C62EBFB" w:rsidR="000B4EA1" w:rsidRPr="00BF39BC" w:rsidRDefault="000B4EA1" w:rsidP="000B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(6 095)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11171E" w14:textId="1A03CAC9" w:rsidR="000B4EA1" w:rsidRPr="00BF39BC" w:rsidRDefault="000B4EA1" w:rsidP="000B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(6 205)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0D29C" w14:textId="1E874941" w:rsidR="000B4EA1" w:rsidRPr="00BF39BC" w:rsidRDefault="000B4EA1" w:rsidP="000B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(6 117)</w:t>
            </w:r>
          </w:p>
        </w:tc>
      </w:tr>
      <w:tr w:rsidR="000B4EA1" w:rsidRPr="00927E54" w14:paraId="6436884A" w14:textId="77777777" w:rsidTr="00A8154C">
        <w:trPr>
          <w:trHeight w:val="240"/>
        </w:trPr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C8018" w14:textId="77777777" w:rsidR="000B4EA1" w:rsidRPr="00927E54" w:rsidRDefault="000B4EA1" w:rsidP="000B4EA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амортизация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EAE3DE" w14:textId="24F7B88B" w:rsidR="000B4EA1" w:rsidRPr="00BF39BC" w:rsidRDefault="000B4EA1" w:rsidP="000B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(111)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4C2F8" w14:textId="4E6F63A5" w:rsidR="000B4EA1" w:rsidRPr="00BF39BC" w:rsidRDefault="000B4EA1" w:rsidP="000B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(146)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87FBB" w14:textId="224E7ECB" w:rsidR="000B4EA1" w:rsidRPr="00BF39BC" w:rsidRDefault="000B4EA1" w:rsidP="000B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(107)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90865" w14:textId="38630105" w:rsidR="000B4EA1" w:rsidRPr="00BF39BC" w:rsidRDefault="000B4EA1" w:rsidP="000B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(153)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3CDE7" w14:textId="492AFD66" w:rsidR="000B4EA1" w:rsidRPr="00BF39BC" w:rsidRDefault="000B4EA1" w:rsidP="000B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(107)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EEE23" w14:textId="11481111" w:rsidR="000B4EA1" w:rsidRPr="00BF39BC" w:rsidRDefault="000B4EA1" w:rsidP="000B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(163)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278AE" w14:textId="6C4A7086" w:rsidR="000B4EA1" w:rsidRPr="00BF39BC" w:rsidRDefault="000B4EA1" w:rsidP="000B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(10</w:t>
            </w:r>
            <w:r w:rsidR="00F4332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C5506" w14:textId="2A037F22" w:rsidR="000B4EA1" w:rsidRPr="00BF39BC" w:rsidRDefault="000B4EA1" w:rsidP="000B4E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(235)</w:t>
            </w:r>
          </w:p>
        </w:tc>
      </w:tr>
      <w:tr w:rsidR="00FB2273" w:rsidRPr="00927E54" w14:paraId="7B159EE8" w14:textId="77777777" w:rsidTr="00A8154C">
        <w:trPr>
          <w:trHeight w:val="240"/>
        </w:trPr>
        <w:tc>
          <w:tcPr>
            <w:tcW w:w="1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792B" w14:textId="77777777" w:rsidR="00FB2273" w:rsidRPr="00927E54" w:rsidRDefault="00FB2273" w:rsidP="00FB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персонала 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02AE1" w14:textId="2CD59E80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(1 242)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C9E5C9" w14:textId="1A2E5A69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(1 299)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12728" w14:textId="7F4F33AD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(1 353)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83340" w14:textId="1C7E6345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(1 695)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2F2B2" w14:textId="37B30570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(820)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056558" w14:textId="69E47C71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(1 132)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D89CF" w14:textId="7D86E452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(1 502)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C7D74" w14:textId="3AF225DC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(1 597)</w:t>
            </w:r>
          </w:p>
        </w:tc>
      </w:tr>
      <w:tr w:rsidR="00FB2273" w:rsidRPr="00927E54" w14:paraId="7743F315" w14:textId="77777777" w:rsidTr="00A8154C">
        <w:trPr>
          <w:trHeight w:val="240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E2D56" w14:textId="77777777" w:rsidR="00FB2273" w:rsidRPr="00927E54" w:rsidRDefault="00FB2273" w:rsidP="00FB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провизии 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9DE3E2" w14:textId="27B6D4E9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C0BF3" w14:textId="2C12B381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3419E" w14:textId="647D32EE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192A29" w14:textId="3217B0D9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31F9E" w14:textId="51E84D3F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90B721" w14:textId="57E8509D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E58D0" w14:textId="06697200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1E5A6" w14:textId="1647311C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</w:p>
        </w:tc>
      </w:tr>
      <w:tr w:rsidR="00FB2273" w:rsidRPr="00B60095" w14:paraId="7B535DE6" w14:textId="77777777" w:rsidTr="00A8154C">
        <w:trPr>
          <w:trHeight w:val="240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16E69" w14:textId="77777777" w:rsidR="00FB2273" w:rsidRPr="00927E54" w:rsidRDefault="00FB2273" w:rsidP="00FB22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27E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Други разходи за дейността 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55655" w14:textId="45E884CC" w:rsidR="00FB2273" w:rsidRPr="001B5BDD" w:rsidRDefault="001B5BDD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(1 002)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4DF0D1" w14:textId="09976D79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(85)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C582C" w14:textId="6A2B7B29" w:rsidR="00FB2273" w:rsidRPr="001B5BDD" w:rsidRDefault="001B5BDD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(1 001)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F4615" w14:textId="30ADFA17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(86)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07303" w14:textId="45D33FA9" w:rsidR="00FB2273" w:rsidRPr="009877FD" w:rsidRDefault="009877FD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(927)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92B15" w14:textId="0A28A4B6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(85)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69B2C" w14:textId="05F95643" w:rsidR="00FB2273" w:rsidRPr="009877FD" w:rsidRDefault="009877FD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(1 135)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BB8F6" w14:textId="4092DB42" w:rsidR="00FB2273" w:rsidRPr="00BF39BC" w:rsidRDefault="00FB2273" w:rsidP="00FB2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(116)</w:t>
            </w:r>
          </w:p>
        </w:tc>
      </w:tr>
      <w:tr w:rsidR="00BF39BC" w:rsidRPr="00B60095" w14:paraId="6C0C31A7" w14:textId="77777777" w:rsidTr="00A8154C">
        <w:trPr>
          <w:trHeight w:val="240"/>
        </w:trPr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737B" w14:textId="1115D2CA" w:rsidR="00BF39BC" w:rsidRPr="00927E54" w:rsidRDefault="00BF39BC" w:rsidP="00BF39B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r w:rsidRPr="006475B8">
              <w:rPr>
                <w:rFonts w:ascii="Times New Roman" w:eastAsia="Times New Roman" w:hAnsi="Times New Roman" w:cs="Times New Roman"/>
                <w:sz w:val="16"/>
                <w:szCs w:val="16"/>
              </w:rPr>
              <w:t>азходи за неизползван капацитет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225C7" w14:textId="050A26BF" w:rsidR="00BF39BC" w:rsidRPr="00BF39BC" w:rsidRDefault="00BF39BC" w:rsidP="00BF39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(64 278)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012F1" w14:textId="717D1B2A" w:rsidR="00BF39BC" w:rsidRPr="00BF39BC" w:rsidRDefault="00BF39BC" w:rsidP="00BF39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(54 710)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49D" w14:textId="678819C9" w:rsidR="00BF39BC" w:rsidRPr="00BF39BC" w:rsidRDefault="00BF39BC" w:rsidP="00BF39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(69 422)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934570" w14:textId="6B5213DA" w:rsidR="00BF39BC" w:rsidRPr="00BF39BC" w:rsidRDefault="00BF39BC" w:rsidP="00BF39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(54 005)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BC1B0" w14:textId="46D0783F" w:rsidR="00BF39BC" w:rsidRPr="00BF39BC" w:rsidRDefault="00BF39BC" w:rsidP="00BF39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(78 940)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25B45" w14:textId="46A1F203" w:rsidR="00BF39BC" w:rsidRPr="00BF39BC" w:rsidRDefault="00BF39BC" w:rsidP="00BF39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(41 119)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45A35" w14:textId="4DCE30DC" w:rsidR="00BF39BC" w:rsidRPr="00BF39BC" w:rsidRDefault="00BF39BC" w:rsidP="00BF39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(82 579)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56B8F" w14:textId="7A35449B" w:rsidR="00BF39BC" w:rsidRPr="00BF39BC" w:rsidRDefault="00BF39BC" w:rsidP="00BF39B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F39BC">
              <w:rPr>
                <w:rFonts w:ascii="Times New Roman" w:hAnsi="Times New Roman" w:cs="Times New Roman"/>
                <w:sz w:val="16"/>
                <w:szCs w:val="16"/>
              </w:rPr>
              <w:t xml:space="preserve"> (56 576)</w:t>
            </w:r>
          </w:p>
        </w:tc>
      </w:tr>
    </w:tbl>
    <w:p w14:paraId="4675F7C3" w14:textId="77777777" w:rsidR="0068387E" w:rsidRDefault="0068387E" w:rsidP="0068387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74A8C01" w14:textId="2EBD3097" w:rsidR="00F03960" w:rsidRPr="00B32911" w:rsidRDefault="00F03960" w:rsidP="00F0396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63A43">
        <w:rPr>
          <w:rFonts w:ascii="Times New Roman" w:hAnsi="Times New Roman" w:cs="Times New Roman"/>
          <w:i/>
          <w:iCs/>
          <w:sz w:val="20"/>
          <w:szCs w:val="20"/>
        </w:rPr>
        <w:t xml:space="preserve">Таблица № </w:t>
      </w:r>
      <w:r w:rsidRPr="00752AF9">
        <w:rPr>
          <w:rFonts w:ascii="Times New Roman" w:hAnsi="Times New Roman" w:cs="Times New Roman"/>
          <w:i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 </w:t>
      </w:r>
      <w:r w:rsidRPr="0083604A">
        <w:rPr>
          <w:rFonts w:ascii="Times New Roman" w:hAnsi="Times New Roman" w:cs="Times New Roman"/>
          <w:sz w:val="20"/>
          <w:szCs w:val="20"/>
        </w:rPr>
        <w:t xml:space="preserve"> </w:t>
      </w:r>
      <w:r w:rsidRPr="0068387E">
        <w:rPr>
          <w:rFonts w:ascii="Times New Roman" w:hAnsi="Times New Roman" w:cs="Times New Roman"/>
          <w:i/>
          <w:sz w:val="20"/>
          <w:szCs w:val="20"/>
        </w:rPr>
        <w:t>хил. лева</w:t>
      </w:r>
    </w:p>
    <w:tbl>
      <w:tblPr>
        <w:tblW w:w="5238" w:type="pct"/>
        <w:tblLook w:val="04A0" w:firstRow="1" w:lastRow="0" w:firstColumn="1" w:lastColumn="0" w:noHBand="0" w:noVBand="1"/>
      </w:tblPr>
      <w:tblGrid>
        <w:gridCol w:w="2263"/>
        <w:gridCol w:w="2009"/>
        <w:gridCol w:w="1595"/>
        <w:gridCol w:w="1602"/>
        <w:gridCol w:w="2024"/>
      </w:tblGrid>
      <w:tr w:rsidR="00B60095" w:rsidRPr="00167E15" w14:paraId="06064016" w14:textId="77777777" w:rsidTr="009C6401">
        <w:trPr>
          <w:trHeight w:val="642"/>
          <w:tblHeader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bottom"/>
            <w:hideMark/>
          </w:tcPr>
          <w:p w14:paraId="3C086A27" w14:textId="77777777" w:rsidR="007C20D5" w:rsidRPr="007C20D5" w:rsidRDefault="007C20D5" w:rsidP="007C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C20D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DD2147" w14:textId="3AD15ECA" w:rsidR="007C20D5" w:rsidRPr="00CA6307" w:rsidRDefault="007C20D5" w:rsidP="007C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63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2B16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CA63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г. Отчет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5262BB" w14:textId="40484E3A" w:rsidR="007C20D5" w:rsidRPr="00CA6307" w:rsidRDefault="007C20D5" w:rsidP="007C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63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</w:t>
            </w:r>
            <w:r w:rsidR="002B164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Pr="00CA63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г. План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A273C8" w14:textId="77777777" w:rsidR="007C20D5" w:rsidRPr="00CA6307" w:rsidRDefault="007C20D5" w:rsidP="007C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63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Изменение в стойност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5407CF3" w14:textId="77777777" w:rsidR="007C20D5" w:rsidRPr="00CA6307" w:rsidRDefault="007C20D5" w:rsidP="007C20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630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Изменение в %</w:t>
            </w:r>
          </w:p>
        </w:tc>
      </w:tr>
      <w:tr w:rsidR="00A87DE6" w:rsidRPr="00167E15" w14:paraId="07C69A20" w14:textId="77777777" w:rsidTr="0013348A">
        <w:trPr>
          <w:trHeight w:val="240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3C3F" w14:textId="77777777" w:rsidR="00A87DE6" w:rsidRPr="00CA6307" w:rsidRDefault="00A87DE6" w:rsidP="00A87DE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63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материали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515D3" w14:textId="76D7A801" w:rsidR="00A87DE6" w:rsidRPr="00CE61F6" w:rsidRDefault="00A87DE6" w:rsidP="00A87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(54)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330CC" w14:textId="412D3F52" w:rsidR="00A87DE6" w:rsidRPr="00CE61F6" w:rsidRDefault="00A87DE6" w:rsidP="00A87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(319)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3C039" w14:textId="41295B31" w:rsidR="00A87DE6" w:rsidRPr="00CE61F6" w:rsidRDefault="00A87DE6" w:rsidP="00A87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265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23ACD" w14:textId="04328A3E" w:rsidR="00A87DE6" w:rsidRPr="00CE61F6" w:rsidRDefault="00A87DE6" w:rsidP="00A87D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>(83,07%)</w:t>
            </w:r>
          </w:p>
        </w:tc>
      </w:tr>
      <w:tr w:rsidR="00620673" w:rsidRPr="00167E15" w14:paraId="0E43FF0E" w14:textId="77777777" w:rsidTr="00F14E7E">
        <w:trPr>
          <w:trHeight w:val="240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37452" w14:textId="77777777" w:rsidR="00620673" w:rsidRPr="00CA6307" w:rsidRDefault="00620673" w:rsidP="0062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63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външни услуги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25E8F" w14:textId="29D1DAA3" w:rsidR="00620673" w:rsidRPr="00CE61F6" w:rsidRDefault="00620673" w:rsidP="00620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(26 807)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25597" w14:textId="66700712" w:rsidR="00620673" w:rsidRPr="00CE61F6" w:rsidRDefault="00620673" w:rsidP="00620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(25 419)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A39D4" w14:textId="1E640AFA" w:rsidR="00620673" w:rsidRPr="00CE61F6" w:rsidRDefault="00620673" w:rsidP="00620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(1 388)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947CA" w14:textId="1E5E3B8F" w:rsidR="00620673" w:rsidRPr="00CE61F6" w:rsidRDefault="00620673" w:rsidP="00620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>5,46%</w:t>
            </w:r>
          </w:p>
        </w:tc>
      </w:tr>
      <w:tr w:rsidR="00620673" w:rsidRPr="00167E15" w14:paraId="4B4F25A8" w14:textId="77777777" w:rsidTr="00681025">
        <w:trPr>
          <w:trHeight w:val="240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C7A80" w14:textId="77777777" w:rsidR="00620673" w:rsidRPr="00CA6307" w:rsidRDefault="00620673" w:rsidP="0062067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63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амортизация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661A" w14:textId="1BE0D268" w:rsidR="00620673" w:rsidRPr="00071B9C" w:rsidRDefault="00071B9C" w:rsidP="00620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(428)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DD8F9" w14:textId="112D070B" w:rsidR="00620673" w:rsidRPr="00CE61F6" w:rsidRDefault="00620673" w:rsidP="00620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(697)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9A705" w14:textId="0EA2FD00" w:rsidR="00620673" w:rsidRPr="00071B9C" w:rsidRDefault="00071B9C" w:rsidP="00620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269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92722" w14:textId="0B4371FB" w:rsidR="00620673" w:rsidRPr="00071B9C" w:rsidRDefault="00071B9C" w:rsidP="006206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(38,59%)</w:t>
            </w:r>
          </w:p>
        </w:tc>
      </w:tr>
      <w:tr w:rsidR="00916419" w:rsidRPr="00167E15" w14:paraId="58E2837C" w14:textId="77777777" w:rsidTr="008C24C7">
        <w:trPr>
          <w:trHeight w:val="240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483DC" w14:textId="77777777" w:rsidR="00916419" w:rsidRPr="00CA6307" w:rsidRDefault="00916419" w:rsidP="0091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63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персонала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62FE" w14:textId="09ADA6C9" w:rsidR="00916419" w:rsidRPr="00CE61F6" w:rsidRDefault="00916419" w:rsidP="00916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(4 917)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97C78" w14:textId="797AD3EE" w:rsidR="00916419" w:rsidRPr="00CE61F6" w:rsidRDefault="00916419" w:rsidP="00916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(5 723)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8EB66" w14:textId="2F7ACD33" w:rsidR="00916419" w:rsidRPr="00CE61F6" w:rsidRDefault="00916419" w:rsidP="00916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806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7FCB" w14:textId="5C55CD3D" w:rsidR="00916419" w:rsidRPr="00CE61F6" w:rsidRDefault="00916419" w:rsidP="00916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>(14,08%)</w:t>
            </w:r>
          </w:p>
        </w:tc>
      </w:tr>
      <w:tr w:rsidR="00916419" w:rsidRPr="00167E15" w14:paraId="57BD1C28" w14:textId="77777777" w:rsidTr="00A02667">
        <w:trPr>
          <w:trHeight w:val="240"/>
        </w:trPr>
        <w:tc>
          <w:tcPr>
            <w:tcW w:w="1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B05E4" w14:textId="77777777" w:rsidR="00916419" w:rsidRPr="00CA6307" w:rsidRDefault="00916419" w:rsidP="0091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630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Разходи за провизии 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DA723" w14:textId="79DE43BA" w:rsidR="00916419" w:rsidRPr="00CE61F6" w:rsidRDefault="00916419" w:rsidP="00916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</w:p>
        </w:tc>
        <w:tc>
          <w:tcPr>
            <w:tcW w:w="8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C31B" w14:textId="4A5706DF" w:rsidR="00916419" w:rsidRPr="00CE61F6" w:rsidRDefault="00916419" w:rsidP="00916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</w:p>
        </w:tc>
        <w:tc>
          <w:tcPr>
            <w:tcW w:w="8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B10A" w14:textId="711DC3A2" w:rsidR="00916419" w:rsidRPr="00CE61F6" w:rsidRDefault="00916419" w:rsidP="00916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7206" w14:textId="7EBC4D25" w:rsidR="00916419" w:rsidRPr="00CE61F6" w:rsidRDefault="00CE61F6" w:rsidP="00916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16419" w:rsidRPr="007C20D5" w14:paraId="4E0A5629" w14:textId="77777777" w:rsidTr="00BE1041">
        <w:trPr>
          <w:trHeight w:val="308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E0B6B" w14:textId="77777777" w:rsidR="00916419" w:rsidRPr="00CA6307" w:rsidRDefault="00916419" w:rsidP="009164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6307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Други разходи за дейността 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B607" w14:textId="4D3F6CEA" w:rsidR="00916419" w:rsidRPr="008B448C" w:rsidRDefault="008B448C" w:rsidP="00916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(4 065)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002F" w14:textId="04511C04" w:rsidR="00916419" w:rsidRPr="00CE61F6" w:rsidRDefault="00916419" w:rsidP="00916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(372)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FFC84" w14:textId="373743E6" w:rsidR="00916419" w:rsidRPr="008B448C" w:rsidRDefault="008B448C" w:rsidP="00916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r w:rsidR="003A07E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3 693)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72DF2" w14:textId="712DE8B9" w:rsidR="00916419" w:rsidRPr="003A07ED" w:rsidRDefault="003A07ED" w:rsidP="009164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992,74%</w:t>
            </w:r>
          </w:p>
        </w:tc>
      </w:tr>
      <w:tr w:rsidR="00CE61F6" w:rsidRPr="007C20D5" w14:paraId="3A64A13F" w14:textId="77777777" w:rsidTr="00786851">
        <w:trPr>
          <w:trHeight w:val="308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E15FB" w14:textId="209BCBE8" w:rsidR="00CE61F6" w:rsidRPr="00CA6307" w:rsidRDefault="00CE61F6" w:rsidP="00CE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</w:t>
            </w:r>
            <w:r w:rsidRPr="006475B8">
              <w:rPr>
                <w:rFonts w:ascii="Times New Roman" w:eastAsia="Times New Roman" w:hAnsi="Times New Roman" w:cs="Times New Roman"/>
                <w:sz w:val="16"/>
                <w:szCs w:val="16"/>
              </w:rPr>
              <w:t>азходи за неизползван капацитет</w:t>
            </w:r>
          </w:p>
        </w:tc>
        <w:tc>
          <w:tcPr>
            <w:tcW w:w="10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E230A" w14:textId="0DA3B095" w:rsidR="00CE61F6" w:rsidRPr="00CE61F6" w:rsidRDefault="00CE61F6" w:rsidP="00CE61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(295 219)</w:t>
            </w: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2FCFD" w14:textId="06CD38F6" w:rsidR="00CE61F6" w:rsidRPr="00CE61F6" w:rsidRDefault="00CE61F6" w:rsidP="00CE61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(206 410)</w:t>
            </w:r>
          </w:p>
        </w:tc>
        <w:tc>
          <w:tcPr>
            <w:tcW w:w="8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06541" w14:textId="78919D71" w:rsidR="00CE61F6" w:rsidRPr="00CE61F6" w:rsidRDefault="00CE61F6" w:rsidP="00CE61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 xml:space="preserve"> (88 809)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9454F" w14:textId="312FAF82" w:rsidR="00CE61F6" w:rsidRPr="00CE61F6" w:rsidRDefault="00CE61F6" w:rsidP="00CE61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CE61F6">
              <w:rPr>
                <w:rFonts w:ascii="Times New Roman" w:hAnsi="Times New Roman" w:cs="Times New Roman"/>
                <w:sz w:val="16"/>
                <w:szCs w:val="16"/>
              </w:rPr>
              <w:t>43,03%</w:t>
            </w:r>
          </w:p>
        </w:tc>
      </w:tr>
    </w:tbl>
    <w:p w14:paraId="110B1051" w14:textId="77777777" w:rsidR="00A464D9" w:rsidRPr="0068387E" w:rsidRDefault="00A464D9" w:rsidP="0068387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ECB387E" w14:textId="7D6D30A7" w:rsidR="001B56AC" w:rsidRDefault="00485DF5" w:rsidP="001B56AC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B56AC">
        <w:rPr>
          <w:rFonts w:ascii="Times New Roman" w:hAnsi="Times New Roman" w:cs="Times New Roman"/>
          <w:color w:val="000000"/>
          <w:sz w:val="20"/>
          <w:szCs w:val="20"/>
        </w:rPr>
        <w:t>Основен метод</w:t>
      </w:r>
      <w:r w:rsidR="001B56AC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за оптимизиране на разходите, представени в </w:t>
      </w:r>
      <w:r w:rsidR="00EE199C" w:rsidRPr="00EE199C">
        <w:rPr>
          <w:rFonts w:ascii="Times New Roman" w:hAnsi="Times New Roman" w:cs="Times New Roman"/>
          <w:i/>
          <w:iCs/>
          <w:color w:val="000000"/>
          <w:sz w:val="20"/>
          <w:szCs w:val="20"/>
          <w:lang w:val="en-US"/>
        </w:rPr>
        <w:t>T</w:t>
      </w:r>
      <w:proofErr w:type="spellStart"/>
      <w:r w:rsidR="001B56AC" w:rsidRPr="00EE199C">
        <w:rPr>
          <w:rFonts w:ascii="Times New Roman" w:hAnsi="Times New Roman" w:cs="Times New Roman"/>
          <w:i/>
          <w:iCs/>
          <w:color w:val="000000"/>
          <w:sz w:val="20"/>
          <w:szCs w:val="20"/>
        </w:rPr>
        <w:t>аблица</w:t>
      </w:r>
      <w:proofErr w:type="spellEnd"/>
      <w:r w:rsidR="001B56AC" w:rsidRPr="00EE199C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№ 3</w:t>
      </w:r>
      <w:r w:rsidR="001B56AC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1B56AC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е о</w:t>
      </w:r>
      <w:r w:rsidR="001B56AC">
        <w:rPr>
          <w:rFonts w:ascii="Times New Roman" w:hAnsi="Times New Roman" w:cs="Times New Roman"/>
          <w:color w:val="000000"/>
          <w:sz w:val="20"/>
          <w:szCs w:val="20"/>
        </w:rPr>
        <w:t>съществяване на финансов</w:t>
      </w:r>
      <w:r w:rsidR="001B56AC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кон</w:t>
      </w:r>
      <w:r w:rsidR="001B56AC">
        <w:rPr>
          <w:rFonts w:ascii="Times New Roman" w:hAnsi="Times New Roman" w:cs="Times New Roman"/>
          <w:color w:val="000000"/>
          <w:sz w:val="20"/>
          <w:szCs w:val="20"/>
        </w:rPr>
        <w:t>трол върху всички разходи, чрез набелязване</w:t>
      </w:r>
      <w:r w:rsidR="001B56AC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на допълнителни мерки</w:t>
      </w:r>
      <w:r w:rsidR="001B56AC">
        <w:rPr>
          <w:rFonts w:ascii="Times New Roman" w:hAnsi="Times New Roman" w:cs="Times New Roman"/>
          <w:color w:val="000000"/>
          <w:sz w:val="20"/>
          <w:szCs w:val="20"/>
        </w:rPr>
        <w:t xml:space="preserve"> за предприемане на действия, както по отношение на</w:t>
      </w:r>
      <w:r w:rsidR="001B56AC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B56AC" w:rsidRPr="00060186">
        <w:rPr>
          <w:rFonts w:ascii="Times New Roman" w:hAnsi="Times New Roman" w:cs="Times New Roman"/>
          <w:color w:val="000000"/>
          <w:sz w:val="20"/>
          <w:szCs w:val="20"/>
        </w:rPr>
        <w:t>предварителния анализ и мониторинг/</w:t>
      </w:r>
      <w:r w:rsidR="001B56AC">
        <w:rPr>
          <w:rFonts w:ascii="Times New Roman" w:hAnsi="Times New Roman" w:cs="Times New Roman"/>
          <w:color w:val="000000"/>
          <w:sz w:val="20"/>
          <w:szCs w:val="20"/>
        </w:rPr>
        <w:t xml:space="preserve">контрол, така и по отношение на </w:t>
      </w:r>
      <w:r w:rsidR="001B56AC" w:rsidRPr="0083604A">
        <w:rPr>
          <w:rFonts w:ascii="Times New Roman" w:hAnsi="Times New Roman" w:cs="Times New Roman"/>
          <w:color w:val="000000"/>
          <w:sz w:val="20"/>
          <w:szCs w:val="20"/>
        </w:rPr>
        <w:t>контрола пр</w:t>
      </w:r>
      <w:r w:rsidR="001B56AC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1B56AC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извършването </w:t>
      </w:r>
      <w:r w:rsidR="001B56AC">
        <w:rPr>
          <w:rFonts w:ascii="Times New Roman" w:hAnsi="Times New Roman" w:cs="Times New Roman"/>
          <w:color w:val="000000"/>
          <w:sz w:val="20"/>
          <w:szCs w:val="20"/>
        </w:rPr>
        <w:t>и отчитането на разхода</w:t>
      </w:r>
      <w:r w:rsidR="001B56AC" w:rsidRPr="0083604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348E3AB8" w14:textId="5A16FBEA" w:rsidR="00485DF5" w:rsidRDefault="00485DF5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Извършването </w:t>
      </w:r>
      <w:r w:rsidR="00A35040">
        <w:rPr>
          <w:rFonts w:ascii="Times New Roman" w:hAnsi="Times New Roman" w:cs="Times New Roman"/>
          <w:color w:val="000000"/>
          <w:sz w:val="20"/>
          <w:szCs w:val="20"/>
        </w:rPr>
        <w:t>и отчитането на разходите през отчетния период е направено в съответствие с правилата</w:t>
      </w:r>
      <w:r w:rsidR="006505E4">
        <w:rPr>
          <w:rFonts w:ascii="Times New Roman" w:hAnsi="Times New Roman" w:cs="Times New Roman"/>
          <w:color w:val="000000"/>
          <w:sz w:val="20"/>
          <w:szCs w:val="20"/>
        </w:rPr>
        <w:t xml:space="preserve">, като стриктно са спазвани изискванията на приложимите закони и подзаконови </w:t>
      </w:r>
      <w:r w:rsidR="005809F9">
        <w:rPr>
          <w:rFonts w:ascii="Times New Roman" w:hAnsi="Times New Roman" w:cs="Times New Roman"/>
          <w:color w:val="000000"/>
          <w:sz w:val="20"/>
          <w:szCs w:val="20"/>
        </w:rPr>
        <w:t>нормативни актове, както и вътрешните регламентиращи документи на Дружеството</w:t>
      </w:r>
      <w:r w:rsidR="00963A62">
        <w:rPr>
          <w:rFonts w:ascii="Times New Roman" w:hAnsi="Times New Roman" w:cs="Times New Roman"/>
          <w:color w:val="000000"/>
          <w:sz w:val="20"/>
          <w:szCs w:val="20"/>
        </w:rPr>
        <w:t>. Също така, планираните разходи са съобразени с ефективното им използване.</w:t>
      </w:r>
    </w:p>
    <w:p w14:paraId="69B95FE7" w14:textId="5802EA7A" w:rsidR="00361DC0" w:rsidRPr="00361DC0" w:rsidRDefault="00F75FB3" w:rsidP="00361DC0">
      <w:pPr>
        <w:spacing w:after="120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C4D63">
        <w:rPr>
          <w:rFonts w:ascii="Times New Roman" w:hAnsi="Times New Roman" w:cs="Times New Roman"/>
          <w:color w:val="000000"/>
          <w:sz w:val="20"/>
          <w:szCs w:val="20"/>
        </w:rPr>
        <w:t>През 20</w:t>
      </w:r>
      <w:r w:rsidRPr="00752AF9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A52429">
        <w:rPr>
          <w:rFonts w:ascii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г</w:t>
      </w:r>
      <w:r w:rsidRPr="007C4D63">
        <w:rPr>
          <w:rFonts w:ascii="Times New Roman" w:hAnsi="Times New Roman" w:cs="Times New Roman"/>
          <w:color w:val="000000"/>
          <w:sz w:val="20"/>
          <w:szCs w:val="20"/>
        </w:rPr>
        <w:t>. при разходи</w:t>
      </w:r>
      <w:r w:rsidR="008551FB">
        <w:rPr>
          <w:rFonts w:ascii="Times New Roman" w:hAnsi="Times New Roman" w:cs="Times New Roman"/>
          <w:color w:val="000000"/>
          <w:sz w:val="20"/>
          <w:szCs w:val="20"/>
        </w:rPr>
        <w:t>те</w:t>
      </w:r>
      <w:r w:rsidR="00005C36">
        <w:rPr>
          <w:rFonts w:ascii="Times New Roman" w:hAnsi="Times New Roman" w:cs="Times New Roman"/>
          <w:color w:val="000000"/>
          <w:sz w:val="20"/>
          <w:szCs w:val="20"/>
        </w:rPr>
        <w:t xml:space="preserve"> за материали</w:t>
      </w:r>
      <w:r w:rsidR="00AB3E7B">
        <w:rPr>
          <w:rFonts w:ascii="Times New Roman" w:hAnsi="Times New Roman" w:cs="Times New Roman"/>
          <w:color w:val="000000"/>
          <w:sz w:val="20"/>
          <w:szCs w:val="20"/>
        </w:rPr>
        <w:t>, амортизация и</w:t>
      </w:r>
      <w:r w:rsidR="00B94F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B3E7B">
        <w:rPr>
          <w:rFonts w:ascii="Times New Roman" w:hAnsi="Times New Roman" w:cs="Times New Roman"/>
          <w:color w:val="000000"/>
          <w:sz w:val="20"/>
          <w:szCs w:val="20"/>
        </w:rPr>
        <w:t xml:space="preserve">персонал </w:t>
      </w:r>
      <w:r w:rsidRPr="007C4D63">
        <w:rPr>
          <w:rFonts w:ascii="Times New Roman" w:hAnsi="Times New Roman" w:cs="Times New Roman"/>
          <w:color w:val="000000"/>
          <w:sz w:val="20"/>
          <w:szCs w:val="20"/>
        </w:rPr>
        <w:t>се наблюдава намаление</w:t>
      </w:r>
      <w:r w:rsidR="006D5BA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7C4D63">
        <w:rPr>
          <w:rFonts w:ascii="Times New Roman" w:hAnsi="Times New Roman" w:cs="Times New Roman"/>
          <w:color w:val="000000"/>
          <w:sz w:val="20"/>
          <w:szCs w:val="20"/>
        </w:rPr>
        <w:t>в сравнение с планираните, което е видно от таблиците по-горе</w:t>
      </w:r>
      <w:r w:rsidR="002C193F" w:rsidRPr="00752AF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3F0D6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17BB9">
        <w:rPr>
          <w:rFonts w:ascii="Times New Roman" w:hAnsi="Times New Roman" w:cs="Times New Roman"/>
          <w:color w:val="000000"/>
          <w:sz w:val="20"/>
          <w:szCs w:val="20"/>
        </w:rPr>
        <w:t xml:space="preserve">При други разходи </w:t>
      </w:r>
      <w:r w:rsidR="00717BB9">
        <w:rPr>
          <w:rFonts w:ascii="Times New Roman" w:hAnsi="Times New Roman" w:cs="Times New Roman"/>
          <w:sz w:val="20"/>
          <w:szCs w:val="20"/>
        </w:rPr>
        <w:t>у</w:t>
      </w:r>
      <w:r w:rsidR="00717BB9" w:rsidRPr="00361DC0">
        <w:rPr>
          <w:rFonts w:ascii="Times New Roman" w:hAnsi="Times New Roman" w:cs="Times New Roman"/>
          <w:sz w:val="20"/>
          <w:szCs w:val="20"/>
        </w:rPr>
        <w:t>величението се дължи</w:t>
      </w:r>
      <w:r w:rsidR="00903510">
        <w:rPr>
          <w:rFonts w:ascii="Times New Roman" w:hAnsi="Times New Roman" w:cs="Times New Roman"/>
          <w:sz w:val="20"/>
          <w:szCs w:val="20"/>
        </w:rPr>
        <w:t xml:space="preserve"> </w:t>
      </w:r>
      <w:r w:rsidR="00717BB9" w:rsidRPr="00361DC0">
        <w:rPr>
          <w:rFonts w:ascii="Times New Roman" w:hAnsi="Times New Roman" w:cs="Times New Roman"/>
          <w:sz w:val="20"/>
          <w:szCs w:val="20"/>
        </w:rPr>
        <w:t xml:space="preserve"> </w:t>
      </w:r>
      <w:r w:rsidR="0074373B">
        <w:rPr>
          <w:rFonts w:ascii="Times New Roman" w:hAnsi="Times New Roman" w:cs="Times New Roman"/>
          <w:sz w:val="20"/>
          <w:szCs w:val="20"/>
        </w:rPr>
        <w:t>на разходи</w:t>
      </w:r>
      <w:r w:rsidR="0018462A"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 w:rsidR="0018462A">
        <w:rPr>
          <w:rFonts w:ascii="Times New Roman" w:hAnsi="Times New Roman" w:cs="Times New Roman"/>
          <w:sz w:val="20"/>
          <w:szCs w:val="20"/>
        </w:rPr>
        <w:t>префактуриран</w:t>
      </w:r>
      <w:proofErr w:type="spellEnd"/>
      <w:r w:rsidR="0018462A">
        <w:rPr>
          <w:rFonts w:ascii="Times New Roman" w:hAnsi="Times New Roman" w:cs="Times New Roman"/>
          <w:sz w:val="20"/>
          <w:szCs w:val="20"/>
        </w:rPr>
        <w:t xml:space="preserve"> </w:t>
      </w:r>
      <w:r w:rsidR="002B5833">
        <w:rPr>
          <w:rFonts w:ascii="Times New Roman" w:hAnsi="Times New Roman" w:cs="Times New Roman"/>
          <w:sz w:val="20"/>
          <w:szCs w:val="20"/>
        </w:rPr>
        <w:t>капацитет</w:t>
      </w:r>
      <w:r w:rsidR="00717BB9">
        <w:rPr>
          <w:rFonts w:ascii="Times New Roman" w:hAnsi="Times New Roman" w:cs="Times New Roman"/>
          <w:sz w:val="20"/>
          <w:szCs w:val="20"/>
        </w:rPr>
        <w:t xml:space="preserve"> и те не са предвидени при прогнозирането. При разходите за външни услуги увеличението е </w:t>
      </w:r>
      <w:r w:rsidR="00E83136">
        <w:rPr>
          <w:rFonts w:ascii="Times New Roman" w:hAnsi="Times New Roman" w:cs="Times New Roman"/>
          <w:sz w:val="20"/>
          <w:szCs w:val="20"/>
        </w:rPr>
        <w:t xml:space="preserve">незначително и е заради </w:t>
      </w:r>
      <w:r w:rsidR="00FB5A91">
        <w:rPr>
          <w:rFonts w:ascii="Times New Roman" w:hAnsi="Times New Roman" w:cs="Times New Roman"/>
          <w:sz w:val="20"/>
          <w:szCs w:val="20"/>
        </w:rPr>
        <w:t>повишаването</w:t>
      </w:r>
      <w:r w:rsidR="00717BB9">
        <w:rPr>
          <w:rFonts w:ascii="Times New Roman" w:hAnsi="Times New Roman" w:cs="Times New Roman"/>
          <w:sz w:val="20"/>
          <w:szCs w:val="20"/>
        </w:rPr>
        <w:t xml:space="preserve"> на разходите за съхранение на природен газ</w:t>
      </w:r>
      <w:r w:rsidR="00DF3AE0">
        <w:rPr>
          <w:rFonts w:ascii="Times New Roman" w:hAnsi="Times New Roman" w:cs="Times New Roman"/>
          <w:sz w:val="20"/>
          <w:szCs w:val="20"/>
        </w:rPr>
        <w:t>.</w:t>
      </w:r>
      <w:r w:rsidR="007E235F">
        <w:rPr>
          <w:rFonts w:ascii="Times New Roman" w:hAnsi="Times New Roman" w:cs="Times New Roman"/>
          <w:sz w:val="20"/>
          <w:szCs w:val="20"/>
        </w:rPr>
        <w:t xml:space="preserve"> Наблюдава се и </w:t>
      </w:r>
      <w:r w:rsidR="003052AE">
        <w:rPr>
          <w:rFonts w:ascii="Times New Roman" w:hAnsi="Times New Roman" w:cs="Times New Roman"/>
          <w:sz w:val="20"/>
          <w:szCs w:val="20"/>
        </w:rPr>
        <w:t>увеличение при разходите за неизползван капацитет.</w:t>
      </w:r>
    </w:p>
    <w:p w14:paraId="63499A23" w14:textId="77777777" w:rsidR="00154D9C" w:rsidRPr="0083604A" w:rsidRDefault="00154D9C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>В разходите за материали с</w:t>
      </w:r>
      <w:r w:rsidR="00FC5C00">
        <w:rPr>
          <w:rFonts w:ascii="Times New Roman" w:hAnsi="Times New Roman" w:cs="Times New Roman"/>
          <w:color w:val="000000"/>
          <w:sz w:val="20"/>
          <w:szCs w:val="20"/>
        </w:rPr>
        <w:t>е включват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закупени активи (офис техника, мебели и др.</w:t>
      </w:r>
      <w:r w:rsidR="00FC5C00">
        <w:rPr>
          <w:rFonts w:ascii="Times New Roman" w:hAnsi="Times New Roman" w:cs="Times New Roman"/>
          <w:color w:val="000000"/>
          <w:sz w:val="20"/>
          <w:szCs w:val="20"/>
        </w:rPr>
        <w:t xml:space="preserve"> със стойност под прага на същественост, съгласно счетоводната политика на дружеството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>), канцеларски материали и консумативи, горива и смазочни материали за автомобилите, авточасти и принадлежности, автомобилни гуми, стопански инвентар, санитарни материали, рекламни материали, служебна литература и други материали.</w:t>
      </w:r>
      <w:r w:rsidR="00B454CE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71CB1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Дружеството </w:t>
      </w:r>
      <w:r w:rsidR="00A476E6">
        <w:rPr>
          <w:rFonts w:ascii="Times New Roman" w:hAnsi="Times New Roman" w:cs="Times New Roman"/>
          <w:color w:val="000000"/>
          <w:sz w:val="20"/>
          <w:szCs w:val="20"/>
        </w:rPr>
        <w:t>прилага</w:t>
      </w:r>
      <w:r w:rsidR="00565D39">
        <w:rPr>
          <w:rFonts w:ascii="Times New Roman" w:hAnsi="Times New Roman" w:cs="Times New Roman"/>
          <w:color w:val="000000"/>
          <w:sz w:val="20"/>
          <w:szCs w:val="20"/>
        </w:rPr>
        <w:t xml:space="preserve"> финансова</w:t>
      </w:r>
      <w:r w:rsidR="00532D5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D49D2" w:rsidRPr="0083604A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A476E6">
        <w:rPr>
          <w:rFonts w:ascii="Times New Roman" w:hAnsi="Times New Roman" w:cs="Times New Roman"/>
          <w:color w:val="000000"/>
          <w:sz w:val="20"/>
          <w:szCs w:val="20"/>
        </w:rPr>
        <w:t>олитика, относно правилата и процедурите за</w:t>
      </w:r>
      <w:r w:rsidR="00CD49D2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извършване </w:t>
      </w:r>
      <w:r w:rsidR="00571CB1" w:rsidRPr="0083604A">
        <w:rPr>
          <w:rFonts w:ascii="Times New Roman" w:hAnsi="Times New Roman" w:cs="Times New Roman"/>
          <w:color w:val="000000"/>
          <w:sz w:val="20"/>
          <w:szCs w:val="20"/>
        </w:rPr>
        <w:t>на такива разходи</w:t>
      </w:r>
      <w:r w:rsidR="00571CB1" w:rsidRPr="007D757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71CB1" w:rsidRPr="0083604A">
        <w:rPr>
          <w:rFonts w:ascii="Times New Roman" w:hAnsi="Times New Roman" w:cs="Times New Roman"/>
          <w:color w:val="000000"/>
          <w:sz w:val="20"/>
          <w:szCs w:val="20"/>
        </w:rPr>
        <w:t>по отношение</w:t>
      </w:r>
      <w:r w:rsidR="00CD49D2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на целесъобразност</w:t>
      </w:r>
      <w:r w:rsidR="00571CB1" w:rsidRPr="0083604A">
        <w:rPr>
          <w:rFonts w:ascii="Times New Roman" w:hAnsi="Times New Roman" w:cs="Times New Roman"/>
          <w:color w:val="000000"/>
          <w:sz w:val="20"/>
          <w:szCs w:val="20"/>
        </w:rPr>
        <w:t>та</w:t>
      </w:r>
      <w:r w:rsidR="00CD49D2" w:rsidRPr="007D757B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060186">
        <w:rPr>
          <w:rFonts w:ascii="Times New Roman" w:hAnsi="Times New Roman" w:cs="Times New Roman"/>
          <w:color w:val="000000"/>
          <w:sz w:val="20"/>
          <w:szCs w:val="20"/>
        </w:rPr>
        <w:t>и</w:t>
      </w:r>
      <w:r w:rsidR="00A476E6">
        <w:rPr>
          <w:rFonts w:ascii="Times New Roman" w:hAnsi="Times New Roman" w:cs="Times New Roman"/>
          <w:color w:val="000000"/>
          <w:sz w:val="20"/>
          <w:szCs w:val="20"/>
        </w:rPr>
        <w:t xml:space="preserve"> избора на</w:t>
      </w:r>
      <w:r w:rsidR="00571CB1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доставчик, предлагащ </w:t>
      </w:r>
      <w:r w:rsidR="00CD49D2" w:rsidRPr="0083604A">
        <w:rPr>
          <w:rFonts w:ascii="Times New Roman" w:hAnsi="Times New Roman" w:cs="Times New Roman"/>
          <w:color w:val="000000"/>
          <w:sz w:val="20"/>
          <w:szCs w:val="20"/>
        </w:rPr>
        <w:t>най-ниска цена</w:t>
      </w:r>
      <w:r w:rsidR="00A476E6">
        <w:rPr>
          <w:rFonts w:ascii="Times New Roman" w:hAnsi="Times New Roman" w:cs="Times New Roman"/>
          <w:color w:val="000000"/>
          <w:sz w:val="20"/>
          <w:szCs w:val="20"/>
        </w:rPr>
        <w:t xml:space="preserve"> или при най-добро съотношение качество/цена</w:t>
      </w:r>
      <w:r w:rsidR="00CD49D2" w:rsidRPr="0083604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19AB27DA" w14:textId="5EFDF6FC" w:rsidR="00CD49D2" w:rsidRPr="00F52A01" w:rsidRDefault="00280E01" w:rsidP="003D4761">
      <w:pPr>
        <w:pStyle w:val="BodyText"/>
        <w:spacing w:line="30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 </w:t>
      </w:r>
      <w:r w:rsidR="008145DC">
        <w:rPr>
          <w:rFonts w:ascii="Times New Roman" w:hAnsi="Times New Roman" w:cs="Times New Roman"/>
          <w:color w:val="000000"/>
          <w:sz w:val="20"/>
          <w:szCs w:val="20"/>
        </w:rPr>
        <w:t>разходи</w:t>
      </w:r>
      <w:r w:rsidR="006B5F9D">
        <w:rPr>
          <w:rFonts w:ascii="Times New Roman" w:hAnsi="Times New Roman" w:cs="Times New Roman"/>
          <w:color w:val="000000"/>
          <w:sz w:val="20"/>
          <w:szCs w:val="20"/>
        </w:rPr>
        <w:t>те</w:t>
      </w:r>
      <w:r w:rsidR="00154D9C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за външни услуги за периода с най-голям относителен дял </w:t>
      </w:r>
      <w:r w:rsidR="00480BD2">
        <w:rPr>
          <w:rFonts w:ascii="Times New Roman" w:hAnsi="Times New Roman" w:cs="Times New Roman"/>
          <w:color w:val="000000"/>
          <w:sz w:val="20"/>
          <w:szCs w:val="20"/>
        </w:rPr>
        <w:t xml:space="preserve">са </w:t>
      </w:r>
      <w:r w:rsidR="008C59C7" w:rsidRPr="0083604A">
        <w:rPr>
          <w:rFonts w:ascii="Times New Roman" w:hAnsi="Times New Roman" w:cs="Times New Roman"/>
          <w:color w:val="000000"/>
          <w:sz w:val="20"/>
          <w:szCs w:val="20"/>
        </w:rPr>
        <w:t>разходите за съхранение на природен газ</w:t>
      </w:r>
      <w:r w:rsidR="00154D9C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 w:rsidR="00CD49D2" w:rsidRPr="00F52A01">
        <w:rPr>
          <w:rFonts w:ascii="Times New Roman" w:eastAsia="Times New Roman" w:hAnsi="Times New Roman" w:cs="Times New Roman"/>
          <w:sz w:val="20"/>
          <w:szCs w:val="20"/>
        </w:rPr>
        <w:t xml:space="preserve">Следва да се отбележи, че „Булгаргаз“ ЕАД няма влияние върху </w:t>
      </w:r>
      <w:r w:rsidR="00A12A12">
        <w:rPr>
          <w:rFonts w:ascii="Times New Roman" w:eastAsia="Times New Roman" w:hAnsi="Times New Roman" w:cs="Times New Roman"/>
          <w:sz w:val="20"/>
          <w:szCs w:val="20"/>
        </w:rPr>
        <w:t xml:space="preserve">начина на формиране на размера на </w:t>
      </w:r>
      <w:r w:rsidR="00CD49D2" w:rsidRPr="00F52A01">
        <w:rPr>
          <w:rFonts w:ascii="Times New Roman" w:eastAsia="Times New Roman" w:hAnsi="Times New Roman" w:cs="Times New Roman"/>
          <w:sz w:val="20"/>
          <w:szCs w:val="20"/>
        </w:rPr>
        <w:t xml:space="preserve">разходите за съхранение на природен газ, </w:t>
      </w:r>
      <w:r w:rsidR="008145DC" w:rsidRPr="00F52A01">
        <w:rPr>
          <w:rFonts w:ascii="Times New Roman" w:eastAsia="Times New Roman" w:hAnsi="Times New Roman" w:cs="Times New Roman"/>
          <w:sz w:val="20"/>
          <w:szCs w:val="20"/>
        </w:rPr>
        <w:t>тъй като те</w:t>
      </w:r>
      <w:r w:rsidR="00CD49D2" w:rsidRPr="00F52A01">
        <w:rPr>
          <w:rFonts w:ascii="Times New Roman" w:eastAsia="Times New Roman" w:hAnsi="Times New Roman" w:cs="Times New Roman"/>
          <w:sz w:val="20"/>
          <w:szCs w:val="20"/>
        </w:rPr>
        <w:t xml:space="preserve"> се определят</w:t>
      </w:r>
      <w:r w:rsidR="00A12A1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D49D2" w:rsidRPr="00F52A01">
        <w:rPr>
          <w:rFonts w:ascii="Times New Roman" w:eastAsia="Times New Roman" w:hAnsi="Times New Roman" w:cs="Times New Roman"/>
          <w:sz w:val="20"/>
          <w:szCs w:val="20"/>
        </w:rPr>
        <w:t>от Оператора на газопреносната мрежа.</w:t>
      </w:r>
    </w:p>
    <w:p w14:paraId="5624A8B1" w14:textId="340A5F7A" w:rsidR="00B454CE" w:rsidRPr="0083604A" w:rsidRDefault="00060186" w:rsidP="00754327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2C74D3">
        <w:rPr>
          <w:rFonts w:ascii="Times New Roman" w:hAnsi="Times New Roman" w:cs="Times New Roman"/>
          <w:color w:val="000000"/>
          <w:sz w:val="20"/>
          <w:szCs w:val="20"/>
        </w:rPr>
        <w:t>П</w:t>
      </w:r>
      <w:r w:rsidR="00B454CE" w:rsidRPr="002C74D3">
        <w:rPr>
          <w:rFonts w:ascii="Times New Roman" w:hAnsi="Times New Roman" w:cs="Times New Roman"/>
          <w:color w:val="000000"/>
          <w:sz w:val="20"/>
          <w:szCs w:val="20"/>
        </w:rPr>
        <w:t>ри разходите за материали</w:t>
      </w:r>
      <w:r w:rsidR="00B454CE" w:rsidRPr="002C74D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454CE" w:rsidRPr="002C74D3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B454CE" w:rsidRPr="002C74D3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B454CE" w:rsidRPr="002C74D3">
        <w:rPr>
          <w:rFonts w:ascii="Times New Roman" w:hAnsi="Times New Roman" w:cs="Times New Roman"/>
          <w:color w:val="000000"/>
          <w:sz w:val="20"/>
          <w:szCs w:val="20"/>
        </w:rPr>
        <w:t>разходите за външни услуги се прилагат процедури по ЗОП, ког</w:t>
      </w:r>
      <w:r w:rsidR="007E2AEA" w:rsidRPr="002C74D3">
        <w:rPr>
          <w:rFonts w:ascii="Times New Roman" w:hAnsi="Times New Roman" w:cs="Times New Roman"/>
          <w:color w:val="000000"/>
          <w:sz w:val="20"/>
          <w:szCs w:val="20"/>
        </w:rPr>
        <w:t xml:space="preserve">ато стойността надвишава </w:t>
      </w:r>
      <w:r w:rsidR="00CD7456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="007E2AEA" w:rsidRPr="00024D01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167E15" w:rsidRPr="00024D01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="007E2AEA" w:rsidRPr="00024D01">
        <w:rPr>
          <w:rFonts w:ascii="Times New Roman" w:hAnsi="Times New Roman" w:cs="Times New Roman"/>
          <w:color w:val="000000"/>
          <w:sz w:val="20"/>
          <w:szCs w:val="20"/>
        </w:rPr>
        <w:t>000</w:t>
      </w:r>
      <w:r w:rsidR="00167E1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B454CE" w:rsidRPr="002C74D3">
        <w:rPr>
          <w:rFonts w:ascii="Times New Roman" w:hAnsi="Times New Roman" w:cs="Times New Roman"/>
          <w:color w:val="000000"/>
          <w:sz w:val="20"/>
          <w:szCs w:val="20"/>
        </w:rPr>
        <w:t xml:space="preserve">лева. По този начин Дружеството </w:t>
      </w:r>
      <w:r w:rsidR="007E2AEA" w:rsidRPr="002C74D3">
        <w:rPr>
          <w:rFonts w:ascii="Times New Roman" w:hAnsi="Times New Roman" w:cs="Times New Roman"/>
          <w:color w:val="000000"/>
          <w:sz w:val="20"/>
          <w:szCs w:val="20"/>
        </w:rPr>
        <w:t xml:space="preserve">спазва и </w:t>
      </w:r>
      <w:r w:rsidR="00A476E6" w:rsidRPr="002C74D3">
        <w:rPr>
          <w:rFonts w:ascii="Times New Roman" w:hAnsi="Times New Roman" w:cs="Times New Roman"/>
          <w:color w:val="000000"/>
          <w:sz w:val="20"/>
          <w:szCs w:val="20"/>
        </w:rPr>
        <w:t>из</w:t>
      </w:r>
      <w:r w:rsidR="007E2AEA" w:rsidRPr="002C74D3">
        <w:rPr>
          <w:rFonts w:ascii="Times New Roman" w:hAnsi="Times New Roman" w:cs="Times New Roman"/>
          <w:color w:val="000000"/>
          <w:sz w:val="20"/>
          <w:szCs w:val="20"/>
        </w:rPr>
        <w:t>пълнява законовите изисквания</w:t>
      </w:r>
      <w:r w:rsidR="00A476E6" w:rsidRPr="002C74D3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5B5BDFA7" w14:textId="77777777" w:rsidR="00F65271" w:rsidRPr="00752AF9" w:rsidRDefault="00477714" w:rsidP="008721F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Другите разходи включват</w:t>
      </w:r>
      <w:r w:rsidR="005E43C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4B6F" w:rsidRPr="0083604A">
        <w:rPr>
          <w:rFonts w:ascii="Times New Roman" w:hAnsi="Times New Roman" w:cs="Times New Roman"/>
          <w:color w:val="000000"/>
          <w:sz w:val="20"/>
          <w:szCs w:val="20"/>
        </w:rPr>
        <w:t>разходи за командировки, представителни, обучение, еднократни данъци</w:t>
      </w:r>
      <w:r w:rsidR="00E579B8" w:rsidRPr="0083604A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EC6497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04B6F" w:rsidRPr="0083604A">
        <w:rPr>
          <w:rFonts w:ascii="Times New Roman" w:hAnsi="Times New Roman" w:cs="Times New Roman"/>
          <w:color w:val="000000"/>
          <w:sz w:val="20"/>
          <w:szCs w:val="20"/>
        </w:rPr>
        <w:t>членство в организации</w:t>
      </w:r>
      <w:r w:rsidR="00E579B8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и други</w:t>
      </w:r>
      <w:r w:rsidR="00E04B6F" w:rsidRPr="0083604A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B454CE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52ED6">
        <w:rPr>
          <w:rFonts w:ascii="Times New Roman" w:hAnsi="Times New Roman" w:cs="Times New Roman"/>
          <w:color w:val="000000"/>
          <w:sz w:val="20"/>
          <w:szCs w:val="20"/>
        </w:rPr>
        <w:t>Съгласно Правилата за финансов</w:t>
      </w:r>
      <w:r w:rsidR="007279C1">
        <w:rPr>
          <w:rFonts w:ascii="Times New Roman" w:hAnsi="Times New Roman" w:cs="Times New Roman"/>
          <w:color w:val="000000"/>
          <w:sz w:val="20"/>
          <w:szCs w:val="20"/>
        </w:rPr>
        <w:t>о управление и контрол, утвърдени и прилагани</w:t>
      </w:r>
      <w:r w:rsidR="00252ED6">
        <w:rPr>
          <w:rFonts w:ascii="Times New Roman" w:hAnsi="Times New Roman" w:cs="Times New Roman"/>
          <w:color w:val="000000"/>
          <w:sz w:val="20"/>
          <w:szCs w:val="20"/>
        </w:rPr>
        <w:t xml:space="preserve"> в </w:t>
      </w:r>
      <w:r w:rsidR="00B454CE" w:rsidRPr="0083604A">
        <w:rPr>
          <w:rFonts w:ascii="Times New Roman" w:hAnsi="Times New Roman" w:cs="Times New Roman"/>
          <w:color w:val="000000"/>
          <w:sz w:val="20"/>
          <w:szCs w:val="20"/>
        </w:rPr>
        <w:t>Дружеството</w:t>
      </w:r>
      <w:r w:rsidR="007279C1">
        <w:rPr>
          <w:rFonts w:ascii="Times New Roman" w:hAnsi="Times New Roman" w:cs="Times New Roman"/>
          <w:color w:val="000000"/>
          <w:sz w:val="20"/>
          <w:szCs w:val="20"/>
        </w:rPr>
        <w:t xml:space="preserve">, предварителният контрол </w:t>
      </w:r>
      <w:r w:rsidR="00252ED6">
        <w:rPr>
          <w:rFonts w:ascii="Times New Roman" w:hAnsi="Times New Roman" w:cs="Times New Roman"/>
          <w:color w:val="000000"/>
          <w:sz w:val="20"/>
          <w:szCs w:val="20"/>
        </w:rPr>
        <w:t xml:space="preserve">следи извършването на </w:t>
      </w:r>
      <w:r w:rsidR="00B454CE" w:rsidRPr="0083604A">
        <w:rPr>
          <w:rFonts w:ascii="Times New Roman" w:hAnsi="Times New Roman" w:cs="Times New Roman"/>
          <w:color w:val="000000"/>
          <w:sz w:val="20"/>
          <w:szCs w:val="20"/>
        </w:rPr>
        <w:t>разходите</w:t>
      </w:r>
      <w:r w:rsidR="005E43CD">
        <w:rPr>
          <w:rFonts w:ascii="Times New Roman" w:hAnsi="Times New Roman" w:cs="Times New Roman"/>
          <w:color w:val="000000"/>
          <w:sz w:val="20"/>
          <w:szCs w:val="20"/>
        </w:rPr>
        <w:t xml:space="preserve"> от всякакъв характер, </w:t>
      </w:r>
      <w:r w:rsidR="00252ED6">
        <w:rPr>
          <w:rFonts w:ascii="Times New Roman" w:hAnsi="Times New Roman" w:cs="Times New Roman"/>
          <w:color w:val="000000"/>
          <w:sz w:val="20"/>
          <w:szCs w:val="20"/>
        </w:rPr>
        <w:t>като се</w:t>
      </w:r>
      <w:r w:rsidR="00B454CE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изисква изготвяне на аргументиран доклад</w:t>
      </w:r>
      <w:r w:rsidR="00252ED6">
        <w:rPr>
          <w:rFonts w:ascii="Times New Roman" w:hAnsi="Times New Roman" w:cs="Times New Roman"/>
          <w:color w:val="000000"/>
          <w:sz w:val="20"/>
          <w:szCs w:val="20"/>
        </w:rPr>
        <w:t xml:space="preserve"> и анализ, за да бъде одобрен</w:t>
      </w:r>
      <w:r w:rsidR="007279C1">
        <w:rPr>
          <w:rFonts w:ascii="Times New Roman" w:hAnsi="Times New Roman" w:cs="Times New Roman"/>
          <w:color w:val="000000"/>
          <w:sz w:val="20"/>
          <w:szCs w:val="20"/>
        </w:rPr>
        <w:t xml:space="preserve"> всеки един разход</w:t>
      </w:r>
      <w:r w:rsidR="005E43CD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4B3A6A0E" w14:textId="28F46F1C" w:rsidR="00656A3C" w:rsidRDefault="00656A3C" w:rsidP="00656A3C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>„Булгаргаз“ ЕАД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предприема действия </w:t>
      </w:r>
      <w:r w:rsidR="009236AB">
        <w:rPr>
          <w:rFonts w:ascii="Times New Roman" w:hAnsi="Times New Roman" w:cs="Times New Roman"/>
          <w:color w:val="000000"/>
          <w:sz w:val="20"/>
          <w:szCs w:val="20"/>
        </w:rPr>
        <w:t xml:space="preserve">по разписана политика за </w:t>
      </w:r>
      <w:r w:rsidR="00E41F0C">
        <w:rPr>
          <w:rFonts w:ascii="Times New Roman" w:hAnsi="Times New Roman" w:cs="Times New Roman"/>
          <w:color w:val="000000"/>
          <w:sz w:val="20"/>
          <w:szCs w:val="20"/>
        </w:rPr>
        <w:t xml:space="preserve">събиране на </w:t>
      </w:r>
      <w:r w:rsidR="00AA358E">
        <w:rPr>
          <w:rFonts w:ascii="Times New Roman" w:hAnsi="Times New Roman" w:cs="Times New Roman"/>
          <w:color w:val="000000"/>
          <w:sz w:val="20"/>
          <w:szCs w:val="20"/>
        </w:rPr>
        <w:t xml:space="preserve"> вземания</w:t>
      </w:r>
      <w:r w:rsidR="00636EC2">
        <w:rPr>
          <w:rFonts w:ascii="Times New Roman" w:hAnsi="Times New Roman" w:cs="Times New Roman"/>
          <w:color w:val="000000"/>
          <w:sz w:val="20"/>
          <w:szCs w:val="20"/>
        </w:rPr>
        <w:t>та</w:t>
      </w:r>
      <w:r w:rsidRPr="008145DC">
        <w:rPr>
          <w:rFonts w:ascii="Times New Roman" w:hAnsi="Times New Roman" w:cs="Times New Roman"/>
          <w:color w:val="000000"/>
          <w:sz w:val="20"/>
          <w:szCs w:val="20"/>
        </w:rPr>
        <w:t>, с ко</w:t>
      </w:r>
      <w:r w:rsidR="00E41F0C">
        <w:rPr>
          <w:rFonts w:ascii="Times New Roman" w:hAnsi="Times New Roman" w:cs="Times New Roman"/>
          <w:color w:val="000000"/>
          <w:sz w:val="20"/>
          <w:szCs w:val="20"/>
        </w:rPr>
        <w:t>я</w:t>
      </w:r>
      <w:r w:rsidRPr="008145DC">
        <w:rPr>
          <w:rFonts w:ascii="Times New Roman" w:hAnsi="Times New Roman" w:cs="Times New Roman"/>
          <w:color w:val="000000"/>
          <w:sz w:val="20"/>
          <w:szCs w:val="20"/>
        </w:rPr>
        <w:t>то се цели намаля</w:t>
      </w:r>
      <w:r>
        <w:rPr>
          <w:rFonts w:ascii="Times New Roman" w:hAnsi="Times New Roman" w:cs="Times New Roman"/>
          <w:color w:val="000000"/>
          <w:sz w:val="20"/>
          <w:szCs w:val="20"/>
        </w:rPr>
        <w:t>ване</w:t>
      </w:r>
      <w:r w:rsidRPr="008145D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на просрочените вземания от клиентите</w:t>
      </w:r>
      <w:r w:rsidRPr="008145D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</w:rPr>
        <w:t>к</w:t>
      </w:r>
      <w:r w:rsidR="00765DDC">
        <w:rPr>
          <w:rFonts w:ascii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hAnsi="Times New Roman" w:cs="Times New Roman"/>
          <w:color w:val="000000"/>
          <w:sz w:val="20"/>
          <w:szCs w:val="20"/>
        </w:rPr>
        <w:t>то се</w:t>
      </w:r>
      <w:r w:rsidR="008045E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010F">
        <w:rPr>
          <w:rFonts w:ascii="Times New Roman" w:hAnsi="Times New Roman" w:cs="Times New Roman"/>
          <w:color w:val="000000"/>
          <w:sz w:val="20"/>
          <w:szCs w:val="20"/>
        </w:rPr>
        <w:t>преследва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погасява</w:t>
      </w:r>
      <w:r w:rsidR="008045E0">
        <w:rPr>
          <w:rFonts w:ascii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в най-кратък разумен срок. </w:t>
      </w:r>
      <w:r w:rsidRPr="005E3159">
        <w:rPr>
          <w:rFonts w:ascii="Times New Roman" w:hAnsi="Times New Roman" w:cs="Times New Roman"/>
          <w:color w:val="000000"/>
          <w:sz w:val="20"/>
          <w:szCs w:val="20"/>
        </w:rPr>
        <w:t>По този начин се оптимизира входящия паричен поток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и </w:t>
      </w:r>
      <w:r w:rsidRPr="00060186">
        <w:rPr>
          <w:rFonts w:ascii="Times New Roman" w:hAnsi="Times New Roman" w:cs="Times New Roman"/>
          <w:color w:val="000000"/>
          <w:sz w:val="20"/>
          <w:szCs w:val="20"/>
        </w:rPr>
        <w:t>Др</w:t>
      </w:r>
      <w:r w:rsidRPr="005E3159">
        <w:rPr>
          <w:rFonts w:ascii="Times New Roman" w:hAnsi="Times New Roman" w:cs="Times New Roman"/>
          <w:color w:val="000000"/>
          <w:sz w:val="20"/>
          <w:szCs w:val="20"/>
        </w:rPr>
        <w:t>ужеството не изпада в забава на плащанията към своите доставчици.</w:t>
      </w:r>
    </w:p>
    <w:p w14:paraId="19EA1A2C" w14:textId="375B8FEC" w:rsidR="003D52FF" w:rsidRPr="00725A5C" w:rsidRDefault="003D52FF" w:rsidP="008721F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Изготвеният настоящ отчет проследява и сравнява планираните и отчетените стойности </w:t>
      </w:r>
      <w:r w:rsidR="00BC722E">
        <w:rPr>
          <w:rFonts w:ascii="Times New Roman" w:hAnsi="Times New Roman" w:cs="Times New Roman"/>
          <w:color w:val="000000"/>
          <w:sz w:val="20"/>
          <w:szCs w:val="20"/>
        </w:rPr>
        <w:t>на избраните критерии и показатели, заложени в Плана за оптимизиране на разходите.</w:t>
      </w:r>
    </w:p>
    <w:p w14:paraId="0B2932E3" w14:textId="77777777" w:rsidR="00F109CF" w:rsidRDefault="00F109CF" w:rsidP="00F14E30">
      <w:pPr>
        <w:pStyle w:val="ListParagraph"/>
        <w:ind w:left="-207"/>
        <w:jc w:val="both"/>
        <w:rPr>
          <w:rFonts w:ascii="Times New Roman" w:hAnsi="Times New Roman" w:cs="Times New Roman"/>
          <w:sz w:val="20"/>
          <w:szCs w:val="20"/>
        </w:rPr>
      </w:pPr>
    </w:p>
    <w:p w14:paraId="6FF27B78" w14:textId="77777777" w:rsidR="006C6D07" w:rsidRDefault="006C6D07" w:rsidP="00F14E30">
      <w:pPr>
        <w:pStyle w:val="ListParagraph"/>
        <w:ind w:left="-207"/>
        <w:jc w:val="both"/>
        <w:rPr>
          <w:rFonts w:ascii="Times New Roman" w:hAnsi="Times New Roman" w:cs="Times New Roman"/>
          <w:sz w:val="20"/>
          <w:szCs w:val="20"/>
        </w:rPr>
      </w:pPr>
    </w:p>
    <w:p w14:paraId="3E9DDD52" w14:textId="77777777" w:rsidR="006C6D07" w:rsidRPr="00FB5A91" w:rsidRDefault="006C6D07" w:rsidP="00F14E30">
      <w:pPr>
        <w:pStyle w:val="ListParagraph"/>
        <w:ind w:left="-20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691EC95" w14:textId="77777777" w:rsidR="008D32EB" w:rsidRDefault="007B136D" w:rsidP="007F431D">
      <w:pPr>
        <w:pStyle w:val="ListParagraph"/>
        <w:ind w:left="-20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456E3">
        <w:rPr>
          <w:rFonts w:ascii="Times New Roman" w:hAnsi="Times New Roman" w:cs="Times New Roman"/>
          <w:b/>
          <w:sz w:val="20"/>
          <w:szCs w:val="20"/>
        </w:rPr>
        <w:lastRenderedPageBreak/>
        <w:t>Показатели</w:t>
      </w:r>
      <w:r w:rsidR="004D20AE" w:rsidRPr="00A456E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26A28" w:rsidRPr="00A456E3">
        <w:rPr>
          <w:rFonts w:ascii="Times New Roman" w:hAnsi="Times New Roman" w:cs="Times New Roman"/>
          <w:b/>
          <w:sz w:val="20"/>
          <w:szCs w:val="20"/>
        </w:rPr>
        <w:t xml:space="preserve">за </w:t>
      </w:r>
      <w:r w:rsidR="000447C5" w:rsidRPr="00A456E3">
        <w:rPr>
          <w:rFonts w:ascii="Times New Roman" w:hAnsi="Times New Roman" w:cs="Times New Roman"/>
          <w:b/>
          <w:sz w:val="20"/>
          <w:szCs w:val="20"/>
        </w:rPr>
        <w:t>на</w:t>
      </w:r>
      <w:r w:rsidR="000447C5">
        <w:rPr>
          <w:rFonts w:ascii="Times New Roman" w:hAnsi="Times New Roman" w:cs="Times New Roman"/>
          <w:b/>
          <w:sz w:val="20"/>
          <w:szCs w:val="20"/>
        </w:rPr>
        <w:t>блюдение</w:t>
      </w:r>
      <w:r w:rsidR="0097779E">
        <w:rPr>
          <w:rFonts w:ascii="Times New Roman" w:hAnsi="Times New Roman" w:cs="Times New Roman"/>
          <w:b/>
          <w:sz w:val="20"/>
          <w:szCs w:val="20"/>
        </w:rPr>
        <w:t xml:space="preserve"> и изпълнение на Плана</w:t>
      </w:r>
    </w:p>
    <w:p w14:paraId="672DD9DB" w14:textId="77777777" w:rsidR="00B43562" w:rsidRDefault="00B43562" w:rsidP="007F431D">
      <w:pPr>
        <w:pStyle w:val="ListParagraph"/>
        <w:ind w:left="-20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9826A1B" w14:textId="15E7249B" w:rsidR="006C49E8" w:rsidRPr="00E80461" w:rsidRDefault="00B43562" w:rsidP="00617BCC">
      <w:pPr>
        <w:pStyle w:val="ListParagraph"/>
        <w:ind w:left="-207" w:firstLine="916"/>
        <w:jc w:val="both"/>
        <w:rPr>
          <w:rFonts w:ascii="Times New Roman" w:hAnsi="Times New Roman" w:cs="Times New Roman"/>
          <w:sz w:val="20"/>
          <w:szCs w:val="20"/>
        </w:rPr>
      </w:pPr>
      <w:r w:rsidRPr="00A456E3">
        <w:rPr>
          <w:rFonts w:ascii="Times New Roman" w:hAnsi="Times New Roman" w:cs="Times New Roman"/>
          <w:sz w:val="20"/>
          <w:szCs w:val="20"/>
        </w:rPr>
        <w:t>Количествени</w:t>
      </w:r>
      <w:r w:rsidR="00003623" w:rsidRPr="00A456E3">
        <w:rPr>
          <w:rFonts w:ascii="Times New Roman" w:hAnsi="Times New Roman" w:cs="Times New Roman"/>
          <w:sz w:val="20"/>
          <w:szCs w:val="20"/>
        </w:rPr>
        <w:t>те</w:t>
      </w:r>
      <w:r w:rsidRPr="00A456E3">
        <w:rPr>
          <w:rFonts w:ascii="Times New Roman" w:hAnsi="Times New Roman" w:cs="Times New Roman"/>
          <w:sz w:val="20"/>
          <w:szCs w:val="20"/>
        </w:rPr>
        <w:t xml:space="preserve"> и стойностните показатели, които Дружеството използва за изм</w:t>
      </w:r>
      <w:r w:rsidR="00003623" w:rsidRPr="00A456E3">
        <w:rPr>
          <w:rFonts w:ascii="Times New Roman" w:hAnsi="Times New Roman" w:cs="Times New Roman"/>
          <w:sz w:val="20"/>
          <w:szCs w:val="20"/>
        </w:rPr>
        <w:t>е</w:t>
      </w:r>
      <w:r w:rsidRPr="00A456E3">
        <w:rPr>
          <w:rFonts w:ascii="Times New Roman" w:hAnsi="Times New Roman" w:cs="Times New Roman"/>
          <w:sz w:val="20"/>
          <w:szCs w:val="20"/>
        </w:rPr>
        <w:t xml:space="preserve">рване </w:t>
      </w:r>
      <w:r w:rsidR="00003623" w:rsidRPr="00A456E3">
        <w:rPr>
          <w:rFonts w:ascii="Times New Roman" w:hAnsi="Times New Roman" w:cs="Times New Roman"/>
          <w:sz w:val="20"/>
          <w:szCs w:val="20"/>
        </w:rPr>
        <w:t xml:space="preserve">на </w:t>
      </w:r>
      <w:r w:rsidRPr="00A456E3">
        <w:rPr>
          <w:rFonts w:ascii="Times New Roman" w:hAnsi="Times New Roman" w:cs="Times New Roman"/>
          <w:sz w:val="20"/>
          <w:szCs w:val="20"/>
        </w:rPr>
        <w:t xml:space="preserve">икономичността, </w:t>
      </w:r>
      <w:r w:rsidR="00003623" w:rsidRPr="00A456E3">
        <w:rPr>
          <w:rFonts w:ascii="Times New Roman" w:hAnsi="Times New Roman" w:cs="Times New Roman"/>
          <w:sz w:val="20"/>
          <w:szCs w:val="20"/>
        </w:rPr>
        <w:t>ефективността</w:t>
      </w:r>
      <w:r w:rsidRPr="00A456E3">
        <w:rPr>
          <w:rFonts w:ascii="Times New Roman" w:hAnsi="Times New Roman" w:cs="Times New Roman"/>
          <w:sz w:val="20"/>
          <w:szCs w:val="20"/>
        </w:rPr>
        <w:t xml:space="preserve"> и ефикасността на извършените разходи са следните:</w:t>
      </w:r>
    </w:p>
    <w:p w14:paraId="6B2D31D9" w14:textId="77777777" w:rsidR="00B43562" w:rsidRPr="0083604A" w:rsidRDefault="00B43562" w:rsidP="007F431D">
      <w:pPr>
        <w:pStyle w:val="ListParagraph"/>
        <w:ind w:left="-20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FDE39D5" w14:textId="3DC28BBC" w:rsidR="008D32EB" w:rsidRPr="0083604A" w:rsidRDefault="008D32EB" w:rsidP="008D32EB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83604A">
        <w:rPr>
          <w:rFonts w:ascii="Times New Roman" w:hAnsi="Times New Roman" w:cs="Times New Roman"/>
          <w:b/>
          <w:sz w:val="20"/>
          <w:szCs w:val="20"/>
        </w:rPr>
        <w:t>Гра</w:t>
      </w:r>
      <w:r w:rsidR="004B0F74">
        <w:rPr>
          <w:rFonts w:ascii="Times New Roman" w:hAnsi="Times New Roman" w:cs="Times New Roman"/>
          <w:b/>
          <w:sz w:val="20"/>
          <w:szCs w:val="20"/>
        </w:rPr>
        <w:t>фиката</w:t>
      </w:r>
      <w:r w:rsidRPr="0083604A">
        <w:rPr>
          <w:rFonts w:ascii="Times New Roman" w:hAnsi="Times New Roman" w:cs="Times New Roman"/>
          <w:b/>
          <w:sz w:val="20"/>
          <w:szCs w:val="20"/>
        </w:rPr>
        <w:t xml:space="preserve"> показваща планирани разходи и извършени разходи</w:t>
      </w:r>
    </w:p>
    <w:p w14:paraId="4B5D7EB7" w14:textId="028A3E94" w:rsidR="008D32EB" w:rsidRDefault="00A345C8" w:rsidP="008721F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>Графиката съпостав</w:t>
      </w:r>
      <w:r w:rsidR="007C4380">
        <w:rPr>
          <w:rFonts w:ascii="Times New Roman" w:hAnsi="Times New Roman" w:cs="Times New Roman"/>
          <w:color w:val="000000"/>
          <w:sz w:val="20"/>
          <w:szCs w:val="20"/>
        </w:rPr>
        <w:t>я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27B24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планираните </w:t>
      </w:r>
      <w:r w:rsidR="00727B24" w:rsidRPr="00060186">
        <w:rPr>
          <w:rFonts w:ascii="Times New Roman" w:hAnsi="Times New Roman" w:cs="Times New Roman"/>
          <w:color w:val="000000"/>
          <w:sz w:val="20"/>
          <w:szCs w:val="20"/>
        </w:rPr>
        <w:t xml:space="preserve">и </w:t>
      </w:r>
      <w:r w:rsidR="009F799F" w:rsidRPr="00060186">
        <w:rPr>
          <w:rFonts w:ascii="Times New Roman" w:hAnsi="Times New Roman" w:cs="Times New Roman"/>
          <w:color w:val="000000"/>
          <w:sz w:val="20"/>
          <w:szCs w:val="20"/>
        </w:rPr>
        <w:t>реално</w:t>
      </w:r>
      <w:r w:rsidR="009F799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27B24" w:rsidRPr="0083604A">
        <w:rPr>
          <w:rFonts w:ascii="Times New Roman" w:hAnsi="Times New Roman" w:cs="Times New Roman"/>
          <w:color w:val="000000"/>
          <w:sz w:val="20"/>
          <w:szCs w:val="20"/>
        </w:rPr>
        <w:t>извър</w:t>
      </w:r>
      <w:r w:rsidR="0083604A" w:rsidRPr="0083604A">
        <w:rPr>
          <w:rFonts w:ascii="Times New Roman" w:hAnsi="Times New Roman" w:cs="Times New Roman"/>
          <w:color w:val="000000"/>
          <w:sz w:val="20"/>
          <w:szCs w:val="20"/>
        </w:rPr>
        <w:t>ш</w:t>
      </w:r>
      <w:r w:rsidR="00727B24"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ените разходи на Дружеството. </w:t>
      </w:r>
    </w:p>
    <w:p w14:paraId="0C8F7256" w14:textId="298E2B7E" w:rsidR="007C4380" w:rsidRDefault="00E06654" w:rsidP="00551F94">
      <w:pPr>
        <w:spacing w:after="120" w:line="30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4E273B71" wp14:editId="7E39FC16">
            <wp:extent cx="5760720" cy="3352800"/>
            <wp:effectExtent l="0" t="0" r="11430" b="0"/>
            <wp:docPr id="19944110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E254741-4634-46DB-AF54-EC3A095858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F9CB15E" w14:textId="77777777" w:rsidR="007C4380" w:rsidRDefault="007C4380" w:rsidP="008721F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33132EBB" w14:textId="2C6173EB" w:rsidR="002E7EB9" w:rsidRPr="00494BEE" w:rsidRDefault="002E7EB9" w:rsidP="002E7EB9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От графиката е видна тенденция за </w:t>
      </w:r>
      <w:r w:rsidR="00B471A3">
        <w:rPr>
          <w:rFonts w:ascii="Times New Roman" w:hAnsi="Times New Roman" w:cs="Times New Roman"/>
          <w:color w:val="000000"/>
          <w:sz w:val="20"/>
          <w:szCs w:val="20"/>
        </w:rPr>
        <w:t>нама</w:t>
      </w:r>
      <w:r w:rsidR="004A034B">
        <w:rPr>
          <w:rFonts w:ascii="Times New Roman" w:hAnsi="Times New Roman" w:cs="Times New Roman"/>
          <w:color w:val="000000"/>
          <w:sz w:val="20"/>
          <w:szCs w:val="20"/>
        </w:rPr>
        <w:t>ляване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на разходите през </w:t>
      </w:r>
      <w:r w:rsidR="001C3447">
        <w:rPr>
          <w:rFonts w:ascii="Times New Roman" w:hAnsi="Times New Roman" w:cs="Times New Roman"/>
          <w:color w:val="000000"/>
          <w:sz w:val="20"/>
          <w:szCs w:val="20"/>
        </w:rPr>
        <w:t xml:space="preserve">първо, </w:t>
      </w:r>
      <w:r w:rsidR="004A034B">
        <w:rPr>
          <w:rFonts w:ascii="Times New Roman" w:hAnsi="Times New Roman" w:cs="Times New Roman"/>
          <w:color w:val="000000"/>
          <w:sz w:val="20"/>
          <w:szCs w:val="20"/>
        </w:rPr>
        <w:t>второ</w:t>
      </w:r>
      <w:r w:rsidR="001B3B65">
        <w:rPr>
          <w:rFonts w:ascii="Times New Roman" w:hAnsi="Times New Roman" w:cs="Times New Roman"/>
          <w:color w:val="000000"/>
          <w:sz w:val="20"/>
          <w:szCs w:val="20"/>
        </w:rPr>
        <w:t xml:space="preserve"> и</w:t>
      </w:r>
      <w:r w:rsidR="004A03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F4361D">
        <w:rPr>
          <w:rFonts w:ascii="Times New Roman" w:hAnsi="Times New Roman" w:cs="Times New Roman"/>
          <w:color w:val="000000"/>
          <w:sz w:val="20"/>
          <w:szCs w:val="20"/>
        </w:rPr>
        <w:t>трето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94BEE">
        <w:rPr>
          <w:rFonts w:ascii="Times New Roman" w:hAnsi="Times New Roman" w:cs="Times New Roman"/>
          <w:color w:val="000000"/>
          <w:sz w:val="20"/>
          <w:szCs w:val="20"/>
        </w:rPr>
        <w:t xml:space="preserve">тримесечие в сравнение с разходите през </w:t>
      </w:r>
      <w:r w:rsidR="001B3B65">
        <w:rPr>
          <w:rFonts w:ascii="Times New Roman" w:hAnsi="Times New Roman" w:cs="Times New Roman"/>
          <w:color w:val="000000"/>
          <w:sz w:val="20"/>
          <w:szCs w:val="20"/>
        </w:rPr>
        <w:t>четвърто</w:t>
      </w:r>
      <w:r w:rsidR="004A034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494BEE">
        <w:rPr>
          <w:rFonts w:ascii="Times New Roman" w:hAnsi="Times New Roman" w:cs="Times New Roman"/>
          <w:color w:val="000000"/>
          <w:sz w:val="20"/>
          <w:szCs w:val="20"/>
        </w:rPr>
        <w:t xml:space="preserve">тримесечие. </w:t>
      </w:r>
    </w:p>
    <w:p w14:paraId="1EBE4E6D" w14:textId="2E706992" w:rsidR="002A07BC" w:rsidRPr="002148C8" w:rsidRDefault="002A07BC" w:rsidP="00D0309B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94BEE">
        <w:rPr>
          <w:rFonts w:ascii="Times New Roman" w:hAnsi="Times New Roman" w:cs="Times New Roman"/>
          <w:color w:val="000000"/>
          <w:sz w:val="20"/>
          <w:szCs w:val="20"/>
        </w:rPr>
        <w:t>Най–голямото отклонение на извършените разходи, спря</w:t>
      </w:r>
      <w:r>
        <w:rPr>
          <w:rFonts w:ascii="Times New Roman" w:hAnsi="Times New Roman" w:cs="Times New Roman"/>
          <w:color w:val="000000"/>
          <w:sz w:val="20"/>
          <w:szCs w:val="20"/>
        </w:rPr>
        <w:t>м</w:t>
      </w:r>
      <w:r w:rsidRPr="00494BEE">
        <w:rPr>
          <w:rFonts w:ascii="Times New Roman" w:hAnsi="Times New Roman" w:cs="Times New Roman"/>
          <w:color w:val="000000"/>
          <w:sz w:val="20"/>
          <w:szCs w:val="20"/>
        </w:rPr>
        <w:t xml:space="preserve">о планираните се наблюдава </w:t>
      </w:r>
      <w:r w:rsidR="000106FD">
        <w:rPr>
          <w:rFonts w:ascii="Times New Roman" w:hAnsi="Times New Roman" w:cs="Times New Roman"/>
          <w:color w:val="000000"/>
          <w:sz w:val="20"/>
          <w:szCs w:val="20"/>
        </w:rPr>
        <w:t>през</w:t>
      </w:r>
      <w:r w:rsidRPr="00494BE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711FF6">
        <w:rPr>
          <w:rFonts w:ascii="Times New Roman" w:hAnsi="Times New Roman" w:cs="Times New Roman"/>
          <w:color w:val="000000"/>
          <w:sz w:val="20"/>
          <w:szCs w:val="20"/>
        </w:rPr>
        <w:t>четвърто</w:t>
      </w:r>
      <w:r w:rsidR="000106FD">
        <w:rPr>
          <w:rFonts w:ascii="Times New Roman" w:hAnsi="Times New Roman" w:cs="Times New Roman"/>
          <w:color w:val="000000"/>
          <w:sz w:val="20"/>
          <w:szCs w:val="20"/>
        </w:rPr>
        <w:t>то</w:t>
      </w:r>
      <w:r w:rsidRPr="00494BEE">
        <w:rPr>
          <w:rFonts w:ascii="Times New Roman" w:hAnsi="Times New Roman" w:cs="Times New Roman"/>
          <w:color w:val="000000"/>
          <w:sz w:val="20"/>
          <w:szCs w:val="20"/>
        </w:rPr>
        <w:t xml:space="preserve"> тримесечие, дължащо </w:t>
      </w:r>
      <w:r w:rsidRPr="00102542">
        <w:rPr>
          <w:rFonts w:ascii="Times New Roman" w:hAnsi="Times New Roman" w:cs="Times New Roman"/>
          <w:color w:val="000000"/>
          <w:sz w:val="20"/>
          <w:szCs w:val="20"/>
        </w:rPr>
        <w:t xml:space="preserve">се </w:t>
      </w:r>
      <w:r w:rsidR="001708E1">
        <w:rPr>
          <w:rFonts w:ascii="Times New Roman" w:hAnsi="Times New Roman" w:cs="Times New Roman"/>
          <w:color w:val="000000"/>
          <w:sz w:val="20"/>
          <w:szCs w:val="20"/>
        </w:rPr>
        <w:t xml:space="preserve">основно </w:t>
      </w:r>
      <w:r w:rsidRPr="00102542">
        <w:rPr>
          <w:rFonts w:ascii="Times New Roman" w:hAnsi="Times New Roman" w:cs="Times New Roman"/>
          <w:color w:val="000000"/>
          <w:sz w:val="20"/>
          <w:szCs w:val="20"/>
        </w:rPr>
        <w:t>на</w:t>
      </w:r>
      <w:r w:rsidR="00265E34" w:rsidRPr="00102542">
        <w:rPr>
          <w:rFonts w:ascii="Times New Roman" w:hAnsi="Times New Roman" w:cs="Times New Roman"/>
          <w:color w:val="000000"/>
          <w:sz w:val="20"/>
          <w:szCs w:val="20"/>
        </w:rPr>
        <w:t xml:space="preserve"> у</w:t>
      </w:r>
      <w:r w:rsidR="00D0309B" w:rsidRPr="00102542">
        <w:rPr>
          <w:rFonts w:ascii="Times New Roman" w:hAnsi="Times New Roman" w:cs="Times New Roman"/>
          <w:color w:val="000000"/>
          <w:sz w:val="20"/>
          <w:szCs w:val="20"/>
        </w:rPr>
        <w:t>в</w:t>
      </w:r>
      <w:r w:rsidR="00265E34" w:rsidRPr="00102542">
        <w:rPr>
          <w:rFonts w:ascii="Times New Roman" w:hAnsi="Times New Roman" w:cs="Times New Roman"/>
          <w:color w:val="000000"/>
          <w:sz w:val="20"/>
          <w:szCs w:val="20"/>
        </w:rPr>
        <w:t xml:space="preserve">еличение на </w:t>
      </w:r>
      <w:r w:rsidR="00D0309B" w:rsidRPr="00102542">
        <w:rPr>
          <w:rFonts w:ascii="Times New Roman" w:hAnsi="Times New Roman" w:cs="Times New Roman"/>
          <w:color w:val="000000"/>
          <w:sz w:val="20"/>
          <w:szCs w:val="20"/>
        </w:rPr>
        <w:t xml:space="preserve">разходите за </w:t>
      </w:r>
      <w:r w:rsidR="00F15B53" w:rsidRPr="00102542">
        <w:rPr>
          <w:rFonts w:ascii="Times New Roman" w:hAnsi="Times New Roman" w:cs="Times New Roman"/>
          <w:sz w:val="20"/>
          <w:szCs w:val="20"/>
        </w:rPr>
        <w:t>неизползван капацитет</w:t>
      </w:r>
      <w:r w:rsidR="00D732AC">
        <w:rPr>
          <w:rFonts w:ascii="Times New Roman" w:hAnsi="Times New Roman" w:cs="Times New Roman"/>
          <w:sz w:val="20"/>
          <w:szCs w:val="20"/>
        </w:rPr>
        <w:t xml:space="preserve"> </w:t>
      </w:r>
      <w:r w:rsidR="00D0309B" w:rsidRPr="00102542">
        <w:rPr>
          <w:rFonts w:ascii="Times New Roman" w:hAnsi="Times New Roman" w:cs="Times New Roman"/>
          <w:color w:val="000000"/>
          <w:sz w:val="20"/>
          <w:szCs w:val="20"/>
        </w:rPr>
        <w:t xml:space="preserve">спрямо </w:t>
      </w:r>
      <w:r w:rsidR="00D0309B" w:rsidRPr="00174337">
        <w:rPr>
          <w:rFonts w:ascii="Times New Roman" w:hAnsi="Times New Roman" w:cs="Times New Roman"/>
          <w:color w:val="000000"/>
          <w:sz w:val="20"/>
          <w:szCs w:val="20"/>
        </w:rPr>
        <w:t>предвидените такива</w:t>
      </w:r>
      <w:r w:rsidR="002148C8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, </w:t>
      </w:r>
      <w:r w:rsidR="002148C8">
        <w:rPr>
          <w:rFonts w:ascii="Times New Roman" w:hAnsi="Times New Roman" w:cs="Times New Roman"/>
          <w:color w:val="000000"/>
          <w:sz w:val="20"/>
          <w:szCs w:val="20"/>
        </w:rPr>
        <w:t>а съ</w:t>
      </w:r>
      <w:r w:rsidR="00A34F6B">
        <w:rPr>
          <w:rFonts w:ascii="Times New Roman" w:hAnsi="Times New Roman" w:cs="Times New Roman"/>
          <w:color w:val="000000"/>
          <w:sz w:val="20"/>
          <w:szCs w:val="20"/>
        </w:rPr>
        <w:t xml:space="preserve">що така </w:t>
      </w:r>
      <w:r w:rsidR="00F32949">
        <w:rPr>
          <w:rFonts w:ascii="Times New Roman" w:hAnsi="Times New Roman" w:cs="Times New Roman"/>
          <w:color w:val="000000"/>
          <w:sz w:val="20"/>
          <w:szCs w:val="20"/>
        </w:rPr>
        <w:t xml:space="preserve">на разходите </w:t>
      </w:r>
      <w:r w:rsidR="001673E1">
        <w:rPr>
          <w:rFonts w:ascii="Times New Roman" w:hAnsi="Times New Roman" w:cs="Times New Roman"/>
          <w:sz w:val="20"/>
          <w:szCs w:val="20"/>
        </w:rPr>
        <w:t xml:space="preserve">за </w:t>
      </w:r>
      <w:proofErr w:type="spellStart"/>
      <w:r w:rsidR="001673E1">
        <w:rPr>
          <w:rFonts w:ascii="Times New Roman" w:hAnsi="Times New Roman" w:cs="Times New Roman"/>
          <w:sz w:val="20"/>
          <w:szCs w:val="20"/>
        </w:rPr>
        <w:t>префактуриран</w:t>
      </w:r>
      <w:proofErr w:type="spellEnd"/>
      <w:r w:rsidR="001673E1">
        <w:rPr>
          <w:rFonts w:ascii="Times New Roman" w:hAnsi="Times New Roman" w:cs="Times New Roman"/>
          <w:sz w:val="20"/>
          <w:szCs w:val="20"/>
        </w:rPr>
        <w:t xml:space="preserve"> капацитет</w:t>
      </w:r>
      <w:r w:rsidR="000D507D">
        <w:rPr>
          <w:rFonts w:ascii="Times New Roman" w:hAnsi="Times New Roman" w:cs="Times New Roman"/>
          <w:color w:val="000000"/>
          <w:sz w:val="20"/>
          <w:szCs w:val="20"/>
        </w:rPr>
        <w:t xml:space="preserve">, които не </w:t>
      </w:r>
      <w:r w:rsidR="00D4411A">
        <w:rPr>
          <w:rFonts w:ascii="Times New Roman" w:hAnsi="Times New Roman" w:cs="Times New Roman"/>
          <w:color w:val="000000"/>
          <w:sz w:val="20"/>
          <w:szCs w:val="20"/>
        </w:rPr>
        <w:t>бяха предвидени.</w:t>
      </w:r>
    </w:p>
    <w:p w14:paraId="593D1E0E" w14:textId="77777777" w:rsidR="00D0309B" w:rsidRDefault="00D0309B" w:rsidP="00232448">
      <w:pPr>
        <w:spacing w:after="160" w:line="259" w:lineRule="auto"/>
        <w:ind w:firstLine="706"/>
        <w:rPr>
          <w:rFonts w:ascii="Times New Roman" w:hAnsi="Times New Roman" w:cs="Times New Roman"/>
          <w:color w:val="000000"/>
          <w:sz w:val="20"/>
          <w:szCs w:val="20"/>
        </w:rPr>
      </w:pPr>
    </w:p>
    <w:p w14:paraId="78872ADB" w14:textId="71A39C07" w:rsidR="00156BB9" w:rsidRPr="002E7EB9" w:rsidRDefault="008D32EB" w:rsidP="002E7EB9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232448">
        <w:rPr>
          <w:rFonts w:ascii="Times New Roman" w:hAnsi="Times New Roman" w:cs="Times New Roman"/>
          <w:b/>
          <w:sz w:val="20"/>
          <w:szCs w:val="20"/>
        </w:rPr>
        <w:t>Ефективност на разходите</w:t>
      </w:r>
      <w:r w:rsidR="00156BB9" w:rsidRPr="0023244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484188E" w14:textId="2E509B22" w:rsidR="00DF5BEA" w:rsidRPr="00DF5BEA" w:rsidRDefault="00156BB9" w:rsidP="00DF5BEA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Ефективността на приходите се изчислява </w:t>
      </w:r>
      <w:r w:rsidRPr="00060186">
        <w:rPr>
          <w:rFonts w:ascii="Times New Roman" w:hAnsi="Times New Roman" w:cs="Times New Roman"/>
          <w:color w:val="000000"/>
          <w:sz w:val="20"/>
          <w:szCs w:val="20"/>
        </w:rPr>
        <w:t>на</w:t>
      </w:r>
      <w:r w:rsidR="009F799F" w:rsidRPr="00060186">
        <w:rPr>
          <w:rFonts w:ascii="Times New Roman" w:hAnsi="Times New Roman" w:cs="Times New Roman"/>
          <w:color w:val="000000"/>
          <w:sz w:val="20"/>
          <w:szCs w:val="20"/>
        </w:rPr>
        <w:t xml:space="preserve"> база</w:t>
      </w:r>
      <w:r w:rsidRPr="00060186">
        <w:rPr>
          <w:rFonts w:ascii="Times New Roman" w:hAnsi="Times New Roman" w:cs="Times New Roman"/>
          <w:color w:val="000000"/>
          <w:sz w:val="20"/>
          <w:szCs w:val="20"/>
        </w:rPr>
        <w:t xml:space="preserve"> тримесечие</w:t>
      </w:r>
      <w:r w:rsidRPr="0083604A">
        <w:rPr>
          <w:rFonts w:ascii="Times New Roman" w:hAnsi="Times New Roman" w:cs="Times New Roman"/>
          <w:color w:val="000000"/>
          <w:sz w:val="20"/>
          <w:szCs w:val="20"/>
        </w:rPr>
        <w:t xml:space="preserve"> и показва колко приходи от дейността получава предприятието от използването на единица разход за същата дейност. </w:t>
      </w:r>
    </w:p>
    <w:p w14:paraId="0AAEE950" w14:textId="65E8B1F0" w:rsidR="00DF5BEA" w:rsidRPr="00C7488D" w:rsidRDefault="008D32EB" w:rsidP="00DF5BEA">
      <w:pPr>
        <w:rPr>
          <w:rFonts w:ascii="Bahnschrift Condensed" w:hAnsi="Bahnschrift Condensed" w:cs="Times New Roman"/>
          <w:sz w:val="20"/>
          <w:szCs w:val="20"/>
          <w:oMath/>
        </w:rPr>
      </w:pPr>
      <m:oMathPara>
        <m:oMath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Ефективност на разходите=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0"/>
                  <w:szCs w:val="20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Приходи</m:t>
              </m:r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0"/>
                  <w:szCs w:val="20"/>
                </w:rPr>
                <m:t>Разходи</m:t>
              </m:r>
            </m:den>
          </m:f>
        </m:oMath>
      </m:oMathPara>
    </w:p>
    <w:p w14:paraId="0F7E9938" w14:textId="0C64FEB2" w:rsidR="00A240E3" w:rsidRDefault="008D32EB" w:rsidP="00B3291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>Колкото по висока е стойността на ефективността на разходите, толкова повече приходи генерира единица разход.</w:t>
      </w:r>
    </w:p>
    <w:p w14:paraId="198BBA39" w14:textId="355E3BCC" w:rsidR="00EA6B88" w:rsidRDefault="00EA6B88" w:rsidP="00B32911">
      <w:pPr>
        <w:spacing w:after="120" w:line="300" w:lineRule="auto"/>
        <w:ind w:firstLine="706"/>
        <w:jc w:val="both"/>
        <w:rPr>
          <w:rFonts w:ascii="Times New Roman" w:hAnsi="Times New Roman" w:cs="Times New Roman"/>
          <w:sz w:val="20"/>
          <w:szCs w:val="20"/>
        </w:rPr>
      </w:pPr>
      <w:r w:rsidRPr="00A54DB6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Таблица </w:t>
      </w:r>
      <w:r w:rsidRPr="00A54DB6">
        <w:rPr>
          <w:rFonts w:ascii="Times New Roman" w:hAnsi="Times New Roman" w:cs="Times New Roman"/>
          <w:i/>
          <w:iCs/>
          <w:sz w:val="20"/>
          <w:szCs w:val="20"/>
        </w:rPr>
        <w:t xml:space="preserve">№ </w:t>
      </w:r>
      <w:r w:rsidRPr="00752AF9">
        <w:rPr>
          <w:rFonts w:ascii="Times New Roman" w:hAnsi="Times New Roman" w:cs="Times New Roman"/>
          <w:i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съпоставя отчет</w:t>
      </w:r>
      <w:r w:rsidR="004048F7">
        <w:rPr>
          <w:rFonts w:ascii="Times New Roman" w:hAnsi="Times New Roman" w:cs="Times New Roman"/>
          <w:sz w:val="20"/>
          <w:szCs w:val="20"/>
        </w:rPr>
        <w:t>ни и планирани разходи, за да бъде изчислен коефициент</w:t>
      </w:r>
      <w:r w:rsidR="00A54DB6">
        <w:rPr>
          <w:rFonts w:ascii="Times New Roman" w:hAnsi="Times New Roman" w:cs="Times New Roman"/>
          <w:sz w:val="20"/>
          <w:szCs w:val="20"/>
        </w:rPr>
        <w:t>а за ефективност на разходите</w:t>
      </w:r>
      <w:r w:rsidR="00AB330E">
        <w:rPr>
          <w:rFonts w:ascii="Times New Roman" w:hAnsi="Times New Roman" w:cs="Times New Roman"/>
          <w:sz w:val="20"/>
          <w:szCs w:val="20"/>
        </w:rPr>
        <w:t xml:space="preserve"> за </w:t>
      </w:r>
      <w:proofErr w:type="spellStart"/>
      <w:r w:rsidR="00AB330E">
        <w:rPr>
          <w:rFonts w:ascii="Times New Roman" w:hAnsi="Times New Roman" w:cs="Times New Roman"/>
          <w:sz w:val="20"/>
          <w:szCs w:val="20"/>
        </w:rPr>
        <w:t>провизия</w:t>
      </w:r>
      <w:proofErr w:type="spellEnd"/>
      <w:r w:rsidR="00A54DB6">
        <w:rPr>
          <w:rFonts w:ascii="Times New Roman" w:hAnsi="Times New Roman" w:cs="Times New Roman"/>
          <w:sz w:val="20"/>
          <w:szCs w:val="20"/>
        </w:rPr>
        <w:t>.</w:t>
      </w:r>
    </w:p>
    <w:p w14:paraId="23530A93" w14:textId="77777777" w:rsidR="00E06111" w:rsidRDefault="00E06111" w:rsidP="00B32911">
      <w:pPr>
        <w:spacing w:after="120" w:line="300" w:lineRule="auto"/>
        <w:ind w:firstLine="706"/>
        <w:jc w:val="both"/>
        <w:rPr>
          <w:rFonts w:ascii="Times New Roman" w:hAnsi="Times New Roman" w:cs="Times New Roman"/>
          <w:sz w:val="20"/>
          <w:szCs w:val="20"/>
        </w:rPr>
      </w:pPr>
    </w:p>
    <w:p w14:paraId="46883D16" w14:textId="77777777" w:rsidR="00760A3E" w:rsidRDefault="00760A3E" w:rsidP="00B32911">
      <w:pPr>
        <w:spacing w:after="120" w:line="300" w:lineRule="auto"/>
        <w:ind w:firstLine="706"/>
        <w:jc w:val="both"/>
        <w:rPr>
          <w:rFonts w:ascii="Times New Roman" w:hAnsi="Times New Roman" w:cs="Times New Roman"/>
          <w:sz w:val="20"/>
          <w:szCs w:val="20"/>
        </w:rPr>
      </w:pPr>
    </w:p>
    <w:p w14:paraId="06C8B118" w14:textId="77777777" w:rsidR="00A943C3" w:rsidRDefault="00A240E3" w:rsidP="00B3291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54DB6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Таблица № </w:t>
      </w:r>
      <w:r w:rsidR="00F87F6D" w:rsidRPr="00752AF9">
        <w:rPr>
          <w:rFonts w:ascii="Times New Roman" w:hAnsi="Times New Roman" w:cs="Times New Roman"/>
          <w:i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</w:r>
      <w:r w:rsidR="00B32911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83604A">
        <w:rPr>
          <w:rFonts w:ascii="Times New Roman" w:hAnsi="Times New Roman" w:cs="Times New Roman"/>
          <w:sz w:val="20"/>
          <w:szCs w:val="20"/>
        </w:rPr>
        <w:t xml:space="preserve"> </w:t>
      </w:r>
      <w:r w:rsidR="00B32911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8387E">
        <w:rPr>
          <w:rFonts w:ascii="Times New Roman" w:hAnsi="Times New Roman" w:cs="Times New Roman"/>
          <w:i/>
          <w:sz w:val="20"/>
          <w:szCs w:val="20"/>
        </w:rPr>
        <w:t>хил. лева</w:t>
      </w:r>
    </w:p>
    <w:tbl>
      <w:tblPr>
        <w:tblW w:w="5062" w:type="pct"/>
        <w:tblLayout w:type="fixed"/>
        <w:tblLook w:val="04A0" w:firstRow="1" w:lastRow="0" w:firstColumn="1" w:lastColumn="0" w:noHBand="0" w:noVBand="1"/>
      </w:tblPr>
      <w:tblGrid>
        <w:gridCol w:w="2428"/>
        <w:gridCol w:w="1438"/>
        <w:gridCol w:w="1349"/>
        <w:gridCol w:w="1440"/>
        <w:gridCol w:w="1440"/>
        <w:gridCol w:w="1079"/>
      </w:tblGrid>
      <w:tr w:rsidR="00A70781" w:rsidRPr="00167E15" w14:paraId="584760EF" w14:textId="77777777" w:rsidTr="00C90066">
        <w:trPr>
          <w:trHeight w:val="284"/>
          <w:tblHeader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9A59" w14:textId="77777777" w:rsidR="007C614B" w:rsidRPr="008E05EB" w:rsidRDefault="007C614B" w:rsidP="007C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0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4F040BE" w14:textId="6C5759FC" w:rsidR="007C614B" w:rsidRPr="008E05EB" w:rsidRDefault="007C614B" w:rsidP="007C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0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 тримесечие 202</w:t>
            </w:r>
            <w:r w:rsidR="00E907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8E0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4FF08EF7" w14:textId="793556BC" w:rsidR="007C614B" w:rsidRPr="008E05EB" w:rsidRDefault="007C614B" w:rsidP="007C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0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 тримесечие 202</w:t>
            </w:r>
            <w:r w:rsidR="00E907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8E0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AA980AE" w14:textId="4C0F75D5" w:rsidR="007C614B" w:rsidRPr="008E05EB" w:rsidRDefault="007C614B" w:rsidP="007C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0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III тримесечие 202</w:t>
            </w:r>
            <w:r w:rsidR="00E907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8E0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A70781" w:rsidRPr="008E0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г</w:t>
            </w:r>
            <w:r w:rsidRPr="008E0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33BA8314" w14:textId="0B48CD76" w:rsidR="007C614B" w:rsidRPr="008E05EB" w:rsidRDefault="007C614B" w:rsidP="007C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0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IV тримесечие 202</w:t>
            </w:r>
            <w:r w:rsidR="00E907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8E0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г.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15437760" w14:textId="05377BE5" w:rsidR="007C614B" w:rsidRPr="008E05EB" w:rsidRDefault="007C614B" w:rsidP="007C61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E0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E9075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="00A70781" w:rsidRPr="008E0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E05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г.             </w:t>
            </w:r>
          </w:p>
        </w:tc>
      </w:tr>
      <w:tr w:rsidR="00D36509" w:rsidRPr="00167E15" w14:paraId="2DA11FDF" w14:textId="77777777" w:rsidTr="005C75EB">
        <w:trPr>
          <w:trHeight w:val="284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A078" w14:textId="77777777" w:rsidR="00D36509" w:rsidRPr="008E05EB" w:rsidRDefault="00D36509" w:rsidP="00D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0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Приходи (Отчет)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EE7CB" w14:textId="053C1512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sz w:val="18"/>
                <w:szCs w:val="18"/>
              </w:rPr>
              <w:t>444 968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4F4C89" w14:textId="5B20BA01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sz w:val="18"/>
                <w:szCs w:val="18"/>
              </w:rPr>
              <w:t>234 319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37EBEE" w14:textId="5A081898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sz w:val="18"/>
                <w:szCs w:val="18"/>
              </w:rPr>
              <w:t>349 870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2B9DD" w14:textId="55328C83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sz w:val="18"/>
                <w:szCs w:val="18"/>
              </w:rPr>
              <w:t>469 330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13A2A" w14:textId="7659B90A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1 498 487</w:t>
            </w:r>
          </w:p>
        </w:tc>
      </w:tr>
      <w:tr w:rsidR="00D36509" w:rsidRPr="00167E15" w14:paraId="00AF034C" w14:textId="77777777" w:rsidTr="005C75EB">
        <w:trPr>
          <w:trHeight w:val="284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73D9" w14:textId="77777777" w:rsidR="00D36509" w:rsidRPr="008E05EB" w:rsidRDefault="00D36509" w:rsidP="00D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0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Приходи (План)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90A66" w14:textId="44332B71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568 966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0B83B" w14:textId="48D0252C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330 597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88CB7" w14:textId="461106B4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491 128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B4E28" w14:textId="70940723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465 339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209CF" w14:textId="0B88D835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1 856 030</w:t>
            </w:r>
          </w:p>
        </w:tc>
      </w:tr>
      <w:tr w:rsidR="00D36509" w:rsidRPr="00167E15" w14:paraId="67CBC05C" w14:textId="77777777" w:rsidTr="005C75EB">
        <w:trPr>
          <w:trHeight w:val="284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3DD2" w14:textId="77777777" w:rsidR="00D36509" w:rsidRPr="008E05EB" w:rsidRDefault="00D36509" w:rsidP="00D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0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Разходи (Отчет)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67883" w14:textId="1F27CC71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sz w:val="18"/>
                <w:szCs w:val="18"/>
              </w:rPr>
              <w:t xml:space="preserve">          545 864 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E2A7" w14:textId="4C1B84A8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sz w:val="18"/>
                <w:szCs w:val="18"/>
              </w:rPr>
              <w:t xml:space="preserve">         386 369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E8D3" w14:textId="06954203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sz w:val="18"/>
                <w:szCs w:val="18"/>
              </w:rPr>
              <w:t xml:space="preserve">           278 844 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BD6B" w14:textId="3EF43684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sz w:val="18"/>
                <w:szCs w:val="18"/>
              </w:rPr>
              <w:t xml:space="preserve">           599 229 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798C0" w14:textId="4C9861CB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1 810 306</w:t>
            </w:r>
          </w:p>
        </w:tc>
      </w:tr>
      <w:tr w:rsidR="00D36509" w:rsidRPr="00167E15" w14:paraId="5AB50FA1" w14:textId="77777777" w:rsidTr="005C75EB">
        <w:trPr>
          <w:trHeight w:val="284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759F" w14:textId="77777777" w:rsidR="00D36509" w:rsidRPr="008E05EB" w:rsidRDefault="00D36509" w:rsidP="00D365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E05E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Разходи (План)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1354" w14:textId="662CDF40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618 112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4AB1" w14:textId="069E3132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380 722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84596" w14:textId="7EAC4E05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281 893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26ACD" w14:textId="54C222B4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509 104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8161C" w14:textId="1FCA9D95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1 789 831</w:t>
            </w:r>
          </w:p>
        </w:tc>
      </w:tr>
      <w:tr w:rsidR="00D36509" w:rsidRPr="00167E15" w14:paraId="22F8A441" w14:textId="77777777" w:rsidTr="005C75EB">
        <w:trPr>
          <w:trHeight w:val="284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57D0F" w14:textId="77777777" w:rsidR="00D36509" w:rsidRPr="008E05EB" w:rsidRDefault="00D36509" w:rsidP="00D36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05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Ефективност на разходите (Отчет)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BA608" w14:textId="5A362CD9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0,8152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44DD" w14:textId="60044E59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0,6065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7C8D3" w14:textId="1ED29C6D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1,2547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007C5" w14:textId="5D03B753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0,7832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6BE20" w14:textId="06A22EE5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0,8278</w:t>
            </w:r>
          </w:p>
        </w:tc>
      </w:tr>
      <w:tr w:rsidR="00D36509" w:rsidRPr="00A70781" w14:paraId="45E3433A" w14:textId="77777777" w:rsidTr="005C75EB">
        <w:trPr>
          <w:trHeight w:val="284"/>
        </w:trPr>
        <w:tc>
          <w:tcPr>
            <w:tcW w:w="1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21A5F" w14:textId="77777777" w:rsidR="00D36509" w:rsidRPr="008E05EB" w:rsidRDefault="00D36509" w:rsidP="00D365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E05E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Ефективност на разходите (План)</w:t>
            </w:r>
          </w:p>
        </w:tc>
        <w:tc>
          <w:tcPr>
            <w:tcW w:w="7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A704D" w14:textId="368421CC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0,9205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2FFE1" w14:textId="646FC9E5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0,8683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F46A2" w14:textId="5B14B705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1,7422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5A445" w14:textId="4A568C46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0,9140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BC8CE" w14:textId="206FB3E1" w:rsidR="00D36509" w:rsidRPr="00D36509" w:rsidRDefault="00D36509" w:rsidP="00D365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3650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1,0370</w:t>
            </w:r>
          </w:p>
        </w:tc>
      </w:tr>
    </w:tbl>
    <w:p w14:paraId="75FB2B43" w14:textId="77777777" w:rsidR="00830621" w:rsidRDefault="00830621" w:rsidP="00830621">
      <w:pPr>
        <w:pStyle w:val="ListParagraph"/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</w:p>
    <w:p w14:paraId="3B2C1159" w14:textId="6F24E892" w:rsidR="008D32EB" w:rsidRPr="0083604A" w:rsidRDefault="008D32EB" w:rsidP="008D32EB">
      <w:pPr>
        <w:pStyle w:val="ListParagraph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83604A">
        <w:rPr>
          <w:rFonts w:ascii="Times New Roman" w:hAnsi="Times New Roman" w:cs="Times New Roman"/>
          <w:b/>
          <w:sz w:val="20"/>
          <w:szCs w:val="20"/>
        </w:rPr>
        <w:t>Графика на ефективността на разходите</w:t>
      </w:r>
    </w:p>
    <w:p w14:paraId="24A26723" w14:textId="77777777" w:rsidR="00156BB9" w:rsidRDefault="00156BB9" w:rsidP="008721F1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83604A">
        <w:rPr>
          <w:rFonts w:ascii="Times New Roman" w:hAnsi="Times New Roman" w:cs="Times New Roman"/>
          <w:color w:val="000000"/>
          <w:sz w:val="20"/>
          <w:szCs w:val="20"/>
        </w:rPr>
        <w:t>Графиката представя визуално как се изменя ефективността на разходите спрямо всяко тримесечие.</w:t>
      </w:r>
    </w:p>
    <w:p w14:paraId="1DF23071" w14:textId="007696A9" w:rsidR="004E7429" w:rsidRDefault="001425EC" w:rsidP="0029551B">
      <w:pPr>
        <w:spacing w:after="120" w:line="30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607E91C2" wp14:editId="4F7C73EF">
            <wp:extent cx="5829300" cy="2667000"/>
            <wp:effectExtent l="0" t="0" r="0" b="0"/>
            <wp:docPr id="85513768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9412A98-1459-4400-97A3-CCBFF97316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55B8176" w14:textId="64EFFCE0" w:rsidR="00DB5E9E" w:rsidRDefault="00DB5E9E" w:rsidP="009F4329">
      <w:pPr>
        <w:spacing w:after="120" w:line="30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1B1D5C" w14:textId="5AFAA129" w:rsidR="00213AC2" w:rsidRPr="00A55552" w:rsidRDefault="00213AC2" w:rsidP="00213AC2">
      <w:pPr>
        <w:spacing w:after="120" w:line="300" w:lineRule="auto"/>
        <w:ind w:firstLine="706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559C2">
        <w:rPr>
          <w:rFonts w:ascii="Times New Roman" w:hAnsi="Times New Roman" w:cs="Times New Roman"/>
          <w:color w:val="000000"/>
          <w:sz w:val="20"/>
          <w:szCs w:val="20"/>
        </w:rPr>
        <w:t xml:space="preserve">Стойностите на показателя за ефективност на разходите през разглеждания период наближават единица, което показва, че дружеството има почти толкова или повече приходи, отколкото разходи. </w:t>
      </w:r>
    </w:p>
    <w:p w14:paraId="2121494C" w14:textId="77777777" w:rsidR="00DB0A08" w:rsidRPr="006B766B" w:rsidRDefault="00DB0A08" w:rsidP="00DB0A08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505B617" w14:textId="77777777" w:rsidR="00DB0A08" w:rsidRPr="00752AF9" w:rsidRDefault="00DB0A08" w:rsidP="00DB0A08">
      <w:pPr>
        <w:rPr>
          <w:rFonts w:ascii="Times New Roman" w:hAnsi="Times New Roman" w:cs="Times New Roman"/>
          <w:sz w:val="20"/>
          <w:szCs w:val="20"/>
        </w:rPr>
      </w:pPr>
    </w:p>
    <w:p w14:paraId="17273CCA" w14:textId="77777777" w:rsidR="00E814E1" w:rsidRPr="00752AF9" w:rsidRDefault="00E814E1" w:rsidP="00DB0A0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814E1" w:rsidRPr="00752AF9" w:rsidSect="00C43833">
      <w:headerReference w:type="default" r:id="rId14"/>
      <w:footerReference w:type="default" r:id="rId15"/>
      <w:footerReference w:type="first" r:id="rId16"/>
      <w:pgSz w:w="11906" w:h="16838"/>
      <w:pgMar w:top="1417" w:right="1417" w:bottom="99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FAE9D" w14:textId="77777777" w:rsidR="00582B89" w:rsidRDefault="00582B89" w:rsidP="00097C7C">
      <w:pPr>
        <w:spacing w:after="0" w:line="240" w:lineRule="auto"/>
      </w:pPr>
      <w:r>
        <w:separator/>
      </w:r>
    </w:p>
  </w:endnote>
  <w:endnote w:type="continuationSeparator" w:id="0">
    <w:p w14:paraId="7D8E4372" w14:textId="77777777" w:rsidR="00582B89" w:rsidRDefault="00582B89" w:rsidP="00097C7C">
      <w:pPr>
        <w:spacing w:after="0" w:line="240" w:lineRule="auto"/>
      </w:pPr>
      <w:r>
        <w:continuationSeparator/>
      </w:r>
    </w:p>
  </w:endnote>
  <w:endnote w:type="continuationNotice" w:id="1">
    <w:p w14:paraId="02D5D81E" w14:textId="77777777" w:rsidR="00582B89" w:rsidRDefault="00582B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29963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D02988" w14:textId="77777777" w:rsidR="00097C7C" w:rsidRPr="00097C7C" w:rsidRDefault="00097C7C">
        <w:pPr>
          <w:pStyle w:val="Footer"/>
          <w:jc w:val="right"/>
          <w:rPr>
            <w:rFonts w:ascii="Times New Roman" w:hAnsi="Times New Roman" w:cs="Times New Roman"/>
          </w:rPr>
        </w:pPr>
        <w:r w:rsidRPr="00097C7C">
          <w:rPr>
            <w:rFonts w:ascii="Times New Roman" w:hAnsi="Times New Roman" w:cs="Times New Roman"/>
          </w:rPr>
          <w:fldChar w:fldCharType="begin"/>
        </w:r>
        <w:r w:rsidRPr="00097C7C">
          <w:rPr>
            <w:rFonts w:ascii="Times New Roman" w:hAnsi="Times New Roman" w:cs="Times New Roman"/>
          </w:rPr>
          <w:instrText xml:space="preserve"> PAGE   \* MERGEFORMAT </w:instrText>
        </w:r>
        <w:r w:rsidRPr="00097C7C">
          <w:rPr>
            <w:rFonts w:ascii="Times New Roman" w:hAnsi="Times New Roman" w:cs="Times New Roman"/>
          </w:rPr>
          <w:fldChar w:fldCharType="separate"/>
        </w:r>
        <w:r w:rsidR="00236E7B">
          <w:rPr>
            <w:rFonts w:ascii="Times New Roman" w:hAnsi="Times New Roman" w:cs="Times New Roman"/>
            <w:noProof/>
          </w:rPr>
          <w:t>3</w:t>
        </w:r>
        <w:r w:rsidRPr="00097C7C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5D5FA1B" w14:textId="77777777" w:rsidR="00097C7C" w:rsidRPr="00097C7C" w:rsidRDefault="00097C7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6339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8C2D6FD" w14:textId="77777777" w:rsidR="002432F3" w:rsidRPr="002432F3" w:rsidRDefault="002432F3">
        <w:pPr>
          <w:pStyle w:val="Footer"/>
          <w:jc w:val="right"/>
          <w:rPr>
            <w:rFonts w:ascii="Times New Roman" w:hAnsi="Times New Roman" w:cs="Times New Roman"/>
          </w:rPr>
        </w:pPr>
        <w:r w:rsidRPr="002432F3">
          <w:rPr>
            <w:rFonts w:ascii="Times New Roman" w:hAnsi="Times New Roman" w:cs="Times New Roman"/>
          </w:rPr>
          <w:fldChar w:fldCharType="begin"/>
        </w:r>
        <w:r w:rsidRPr="002432F3">
          <w:rPr>
            <w:rFonts w:ascii="Times New Roman" w:hAnsi="Times New Roman" w:cs="Times New Roman"/>
          </w:rPr>
          <w:instrText xml:space="preserve"> PAGE   \* MERGEFORMAT </w:instrText>
        </w:r>
        <w:r w:rsidRPr="002432F3">
          <w:rPr>
            <w:rFonts w:ascii="Times New Roman" w:hAnsi="Times New Roman" w:cs="Times New Roman"/>
          </w:rPr>
          <w:fldChar w:fldCharType="separate"/>
        </w:r>
        <w:r w:rsidR="007C082D">
          <w:rPr>
            <w:rFonts w:ascii="Times New Roman" w:hAnsi="Times New Roman" w:cs="Times New Roman"/>
            <w:noProof/>
          </w:rPr>
          <w:t>1</w:t>
        </w:r>
        <w:r w:rsidRPr="002432F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5BE9D9F" w14:textId="77777777" w:rsidR="002432F3" w:rsidRPr="002432F3" w:rsidRDefault="002432F3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541AC" w14:textId="77777777" w:rsidR="00582B89" w:rsidRDefault="00582B89" w:rsidP="00097C7C">
      <w:pPr>
        <w:spacing w:after="0" w:line="240" w:lineRule="auto"/>
      </w:pPr>
      <w:r>
        <w:separator/>
      </w:r>
    </w:p>
  </w:footnote>
  <w:footnote w:type="continuationSeparator" w:id="0">
    <w:p w14:paraId="2F6B5F72" w14:textId="77777777" w:rsidR="00582B89" w:rsidRDefault="00582B89" w:rsidP="00097C7C">
      <w:pPr>
        <w:spacing w:after="0" w:line="240" w:lineRule="auto"/>
      </w:pPr>
      <w:r>
        <w:continuationSeparator/>
      </w:r>
    </w:p>
  </w:footnote>
  <w:footnote w:type="continuationNotice" w:id="1">
    <w:p w14:paraId="4534D811" w14:textId="77777777" w:rsidR="00582B89" w:rsidRDefault="00582B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966"/>
    </w:tblGrid>
    <w:tr w:rsidR="00F02E4C" w:rsidRPr="0098133C" w14:paraId="257983B4" w14:textId="77777777" w:rsidTr="00C677FF">
      <w:tc>
        <w:tcPr>
          <w:tcW w:w="9298" w:type="dxa"/>
          <w:tcBorders>
            <w:top w:val="thinThickLargeGap" w:sz="24" w:space="0" w:color="FFFFFF"/>
            <w:left w:val="thinThickLargeGap" w:sz="24" w:space="0" w:color="FFFFFF"/>
            <w:bottom w:val="thinThickLargeGap" w:sz="4" w:space="0" w:color="1F4E79"/>
            <w:right w:val="thinThickLargeGap" w:sz="24" w:space="0" w:color="FFFFFF"/>
          </w:tcBorders>
          <w:shd w:val="clear" w:color="auto" w:fill="auto"/>
        </w:tcPr>
        <w:p w14:paraId="47CD2E64" w14:textId="4AC47F48" w:rsidR="00F02E4C" w:rsidRPr="00896E53" w:rsidRDefault="001C3C55" w:rsidP="00196A9C">
          <w:pPr>
            <w:pStyle w:val="Header"/>
            <w:tabs>
              <w:tab w:val="center" w:pos="5387"/>
              <w:tab w:val="right" w:pos="8505"/>
            </w:tabs>
            <w:ind w:right="-46" w:firstLine="1819"/>
            <w:jc w:val="right"/>
            <w:rPr>
              <w:i/>
              <w:color w:val="002060"/>
              <w:sz w:val="16"/>
              <w:szCs w:val="24"/>
            </w:rPr>
          </w:pPr>
          <w:r>
            <w:rPr>
              <w:i/>
              <w:color w:val="002060"/>
              <w:sz w:val="16"/>
              <w:szCs w:val="24"/>
            </w:rPr>
            <w:t>Отчет за изпълнение</w:t>
          </w:r>
          <w:r w:rsidR="006A609C">
            <w:rPr>
              <w:i/>
              <w:color w:val="002060"/>
              <w:sz w:val="16"/>
              <w:szCs w:val="24"/>
            </w:rPr>
            <w:t xml:space="preserve"> на п</w:t>
          </w:r>
          <w:r w:rsidR="00F02E4C">
            <w:rPr>
              <w:i/>
              <w:color w:val="002060"/>
              <w:sz w:val="16"/>
              <w:szCs w:val="24"/>
            </w:rPr>
            <w:t>лан</w:t>
          </w:r>
          <w:r w:rsidR="006A609C">
            <w:rPr>
              <w:i/>
              <w:color w:val="002060"/>
              <w:sz w:val="16"/>
              <w:szCs w:val="24"/>
            </w:rPr>
            <w:t>а</w:t>
          </w:r>
          <w:r w:rsidR="00F02E4C">
            <w:rPr>
              <w:i/>
              <w:color w:val="002060"/>
              <w:sz w:val="16"/>
              <w:szCs w:val="24"/>
            </w:rPr>
            <w:t xml:space="preserve"> за оптимизиране на разходите на „Булгаргаз“ ЕАД за 20</w:t>
          </w:r>
          <w:r w:rsidR="00237067">
            <w:rPr>
              <w:i/>
              <w:color w:val="002060"/>
              <w:sz w:val="16"/>
              <w:szCs w:val="24"/>
            </w:rPr>
            <w:t>2</w:t>
          </w:r>
          <w:r w:rsidR="00AB521C">
            <w:rPr>
              <w:i/>
              <w:color w:val="002060"/>
              <w:sz w:val="16"/>
              <w:szCs w:val="24"/>
              <w:lang w:val="en-US"/>
            </w:rPr>
            <w:t>4</w:t>
          </w:r>
          <w:r w:rsidR="00196A9C">
            <w:rPr>
              <w:i/>
              <w:color w:val="002060"/>
              <w:sz w:val="16"/>
              <w:szCs w:val="24"/>
            </w:rPr>
            <w:t xml:space="preserve"> </w:t>
          </w:r>
          <w:r w:rsidR="00F02E4C">
            <w:rPr>
              <w:i/>
              <w:color w:val="002060"/>
              <w:sz w:val="16"/>
              <w:szCs w:val="24"/>
            </w:rPr>
            <w:t>г</w:t>
          </w:r>
          <w:r w:rsidR="00013641">
            <w:rPr>
              <w:i/>
              <w:color w:val="002060"/>
              <w:sz w:val="16"/>
              <w:szCs w:val="24"/>
            </w:rPr>
            <w:t>.</w:t>
          </w:r>
        </w:p>
      </w:tc>
    </w:tr>
  </w:tbl>
  <w:p w14:paraId="41BE4DE8" w14:textId="77777777" w:rsidR="00F02E4C" w:rsidRDefault="00F02E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145"/>
    <w:multiLevelType w:val="hybridMultilevel"/>
    <w:tmpl w:val="70FE4FBE"/>
    <w:lvl w:ilvl="0" w:tplc="040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0395"/>
    <w:multiLevelType w:val="hybridMultilevel"/>
    <w:tmpl w:val="27DEF20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842E92"/>
    <w:multiLevelType w:val="hybridMultilevel"/>
    <w:tmpl w:val="52444CC8"/>
    <w:lvl w:ilvl="0" w:tplc="82D6B1A6">
      <w:start w:val="7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13" w:hanging="360"/>
      </w:pPr>
    </w:lvl>
    <w:lvl w:ilvl="2" w:tplc="0402001B" w:tentative="1">
      <w:start w:val="1"/>
      <w:numFmt w:val="lowerRoman"/>
      <w:lvlText w:val="%3."/>
      <w:lvlJc w:val="right"/>
      <w:pPr>
        <w:ind w:left="1233" w:hanging="180"/>
      </w:pPr>
    </w:lvl>
    <w:lvl w:ilvl="3" w:tplc="0402000F" w:tentative="1">
      <w:start w:val="1"/>
      <w:numFmt w:val="decimal"/>
      <w:lvlText w:val="%4."/>
      <w:lvlJc w:val="left"/>
      <w:pPr>
        <w:ind w:left="1953" w:hanging="360"/>
      </w:pPr>
    </w:lvl>
    <w:lvl w:ilvl="4" w:tplc="04020019" w:tentative="1">
      <w:start w:val="1"/>
      <w:numFmt w:val="lowerLetter"/>
      <w:lvlText w:val="%5."/>
      <w:lvlJc w:val="left"/>
      <w:pPr>
        <w:ind w:left="2673" w:hanging="360"/>
      </w:pPr>
    </w:lvl>
    <w:lvl w:ilvl="5" w:tplc="0402001B" w:tentative="1">
      <w:start w:val="1"/>
      <w:numFmt w:val="lowerRoman"/>
      <w:lvlText w:val="%6."/>
      <w:lvlJc w:val="right"/>
      <w:pPr>
        <w:ind w:left="3393" w:hanging="180"/>
      </w:pPr>
    </w:lvl>
    <w:lvl w:ilvl="6" w:tplc="0402000F" w:tentative="1">
      <w:start w:val="1"/>
      <w:numFmt w:val="decimal"/>
      <w:lvlText w:val="%7."/>
      <w:lvlJc w:val="left"/>
      <w:pPr>
        <w:ind w:left="4113" w:hanging="360"/>
      </w:pPr>
    </w:lvl>
    <w:lvl w:ilvl="7" w:tplc="04020019" w:tentative="1">
      <w:start w:val="1"/>
      <w:numFmt w:val="lowerLetter"/>
      <w:lvlText w:val="%8."/>
      <w:lvlJc w:val="left"/>
      <w:pPr>
        <w:ind w:left="4833" w:hanging="360"/>
      </w:pPr>
    </w:lvl>
    <w:lvl w:ilvl="8" w:tplc="040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378C3E6B"/>
    <w:multiLevelType w:val="hybridMultilevel"/>
    <w:tmpl w:val="85E2BC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3755"/>
    <w:multiLevelType w:val="hybridMultilevel"/>
    <w:tmpl w:val="DE24A050"/>
    <w:lvl w:ilvl="0" w:tplc="AB9E5E4A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E54F71"/>
    <w:multiLevelType w:val="hybridMultilevel"/>
    <w:tmpl w:val="3246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811A6"/>
    <w:multiLevelType w:val="hybridMultilevel"/>
    <w:tmpl w:val="53CE7B1E"/>
    <w:lvl w:ilvl="0" w:tplc="DA38354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13" w:hanging="360"/>
      </w:pPr>
    </w:lvl>
    <w:lvl w:ilvl="2" w:tplc="0402001B" w:tentative="1">
      <w:start w:val="1"/>
      <w:numFmt w:val="lowerRoman"/>
      <w:lvlText w:val="%3."/>
      <w:lvlJc w:val="right"/>
      <w:pPr>
        <w:ind w:left="1233" w:hanging="180"/>
      </w:pPr>
    </w:lvl>
    <w:lvl w:ilvl="3" w:tplc="0402000F" w:tentative="1">
      <w:start w:val="1"/>
      <w:numFmt w:val="decimal"/>
      <w:lvlText w:val="%4."/>
      <w:lvlJc w:val="left"/>
      <w:pPr>
        <w:ind w:left="1953" w:hanging="360"/>
      </w:pPr>
    </w:lvl>
    <w:lvl w:ilvl="4" w:tplc="04020019" w:tentative="1">
      <w:start w:val="1"/>
      <w:numFmt w:val="lowerLetter"/>
      <w:lvlText w:val="%5."/>
      <w:lvlJc w:val="left"/>
      <w:pPr>
        <w:ind w:left="2673" w:hanging="360"/>
      </w:pPr>
    </w:lvl>
    <w:lvl w:ilvl="5" w:tplc="0402001B" w:tentative="1">
      <w:start w:val="1"/>
      <w:numFmt w:val="lowerRoman"/>
      <w:lvlText w:val="%6."/>
      <w:lvlJc w:val="right"/>
      <w:pPr>
        <w:ind w:left="3393" w:hanging="180"/>
      </w:pPr>
    </w:lvl>
    <w:lvl w:ilvl="6" w:tplc="0402000F" w:tentative="1">
      <w:start w:val="1"/>
      <w:numFmt w:val="decimal"/>
      <w:lvlText w:val="%7."/>
      <w:lvlJc w:val="left"/>
      <w:pPr>
        <w:ind w:left="4113" w:hanging="360"/>
      </w:pPr>
    </w:lvl>
    <w:lvl w:ilvl="7" w:tplc="04020019" w:tentative="1">
      <w:start w:val="1"/>
      <w:numFmt w:val="lowerLetter"/>
      <w:lvlText w:val="%8."/>
      <w:lvlJc w:val="left"/>
      <w:pPr>
        <w:ind w:left="4833" w:hanging="360"/>
      </w:pPr>
    </w:lvl>
    <w:lvl w:ilvl="8" w:tplc="040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69147B29"/>
    <w:multiLevelType w:val="hybridMultilevel"/>
    <w:tmpl w:val="91945E66"/>
    <w:lvl w:ilvl="0" w:tplc="2B92EB46">
      <w:start w:val="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1300454"/>
    <w:multiLevelType w:val="hybridMultilevel"/>
    <w:tmpl w:val="982A23F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344566"/>
    <w:multiLevelType w:val="hybridMultilevel"/>
    <w:tmpl w:val="D436D382"/>
    <w:lvl w:ilvl="0" w:tplc="C8FAAF54">
      <w:numFmt w:val="bullet"/>
      <w:lvlText w:val="-"/>
      <w:lvlJc w:val="left"/>
      <w:pPr>
        <w:ind w:left="795" w:hanging="360"/>
      </w:pPr>
      <w:rPr>
        <w:rFonts w:ascii="Times New Roman" w:eastAsiaTheme="minorEastAsia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78AC2FB3"/>
    <w:multiLevelType w:val="hybridMultilevel"/>
    <w:tmpl w:val="947CD3AC"/>
    <w:lvl w:ilvl="0" w:tplc="2CF06B66">
      <w:start w:val="5"/>
      <w:numFmt w:val="bullet"/>
      <w:lvlText w:val="-"/>
      <w:lvlJc w:val="left"/>
      <w:pPr>
        <w:ind w:left="153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544877698">
    <w:abstractNumId w:val="0"/>
  </w:num>
  <w:num w:numId="2" w16cid:durableId="1836728812">
    <w:abstractNumId w:val="7"/>
  </w:num>
  <w:num w:numId="3" w16cid:durableId="1316225251">
    <w:abstractNumId w:val="6"/>
  </w:num>
  <w:num w:numId="4" w16cid:durableId="1818958413">
    <w:abstractNumId w:val="10"/>
  </w:num>
  <w:num w:numId="5" w16cid:durableId="1371564754">
    <w:abstractNumId w:val="2"/>
  </w:num>
  <w:num w:numId="6" w16cid:durableId="748845306">
    <w:abstractNumId w:val="9"/>
  </w:num>
  <w:num w:numId="7" w16cid:durableId="761949573">
    <w:abstractNumId w:val="8"/>
  </w:num>
  <w:num w:numId="8" w16cid:durableId="372853895">
    <w:abstractNumId w:val="3"/>
  </w:num>
  <w:num w:numId="9" w16cid:durableId="660086903">
    <w:abstractNumId w:val="5"/>
  </w:num>
  <w:num w:numId="10" w16cid:durableId="188950659">
    <w:abstractNumId w:val="1"/>
  </w:num>
  <w:num w:numId="11" w16cid:durableId="1038047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EF2"/>
    <w:rsid w:val="0000320E"/>
    <w:rsid w:val="00003623"/>
    <w:rsid w:val="00004F78"/>
    <w:rsid w:val="000058AA"/>
    <w:rsid w:val="00005C36"/>
    <w:rsid w:val="00006DFC"/>
    <w:rsid w:val="000106FD"/>
    <w:rsid w:val="0001278C"/>
    <w:rsid w:val="00013641"/>
    <w:rsid w:val="000143DD"/>
    <w:rsid w:val="00016303"/>
    <w:rsid w:val="0002023A"/>
    <w:rsid w:val="00021117"/>
    <w:rsid w:val="000249F7"/>
    <w:rsid w:val="00024D01"/>
    <w:rsid w:val="00024DD2"/>
    <w:rsid w:val="00025CF8"/>
    <w:rsid w:val="00035FE7"/>
    <w:rsid w:val="00037736"/>
    <w:rsid w:val="00040352"/>
    <w:rsid w:val="000422F5"/>
    <w:rsid w:val="000447C5"/>
    <w:rsid w:val="00052F10"/>
    <w:rsid w:val="00053CEC"/>
    <w:rsid w:val="000540E5"/>
    <w:rsid w:val="00060186"/>
    <w:rsid w:val="000607C0"/>
    <w:rsid w:val="00071093"/>
    <w:rsid w:val="00071B9C"/>
    <w:rsid w:val="000730B5"/>
    <w:rsid w:val="0007344F"/>
    <w:rsid w:val="00073ED3"/>
    <w:rsid w:val="0008318C"/>
    <w:rsid w:val="000871F1"/>
    <w:rsid w:val="00087F69"/>
    <w:rsid w:val="00091D03"/>
    <w:rsid w:val="0009233F"/>
    <w:rsid w:val="000950AB"/>
    <w:rsid w:val="000954E9"/>
    <w:rsid w:val="00096DE4"/>
    <w:rsid w:val="000972D6"/>
    <w:rsid w:val="0009787B"/>
    <w:rsid w:val="00097C7C"/>
    <w:rsid w:val="000A0CB5"/>
    <w:rsid w:val="000A108B"/>
    <w:rsid w:val="000A17AC"/>
    <w:rsid w:val="000A4D11"/>
    <w:rsid w:val="000B028D"/>
    <w:rsid w:val="000B4EA1"/>
    <w:rsid w:val="000C7049"/>
    <w:rsid w:val="000D507D"/>
    <w:rsid w:val="000E124D"/>
    <w:rsid w:val="000E30F1"/>
    <w:rsid w:val="000E3AE7"/>
    <w:rsid w:val="000E4309"/>
    <w:rsid w:val="000F1F11"/>
    <w:rsid w:val="000F33D0"/>
    <w:rsid w:val="000F7FB0"/>
    <w:rsid w:val="00102542"/>
    <w:rsid w:val="00102A3F"/>
    <w:rsid w:val="00103F19"/>
    <w:rsid w:val="00104312"/>
    <w:rsid w:val="001110B9"/>
    <w:rsid w:val="00111334"/>
    <w:rsid w:val="001140C4"/>
    <w:rsid w:val="00116A34"/>
    <w:rsid w:val="0012148B"/>
    <w:rsid w:val="00125CBF"/>
    <w:rsid w:val="00126689"/>
    <w:rsid w:val="001278A8"/>
    <w:rsid w:val="00130E9D"/>
    <w:rsid w:val="00134B1B"/>
    <w:rsid w:val="00135BA7"/>
    <w:rsid w:val="0014007A"/>
    <w:rsid w:val="00140CF1"/>
    <w:rsid w:val="001425EC"/>
    <w:rsid w:val="0014369F"/>
    <w:rsid w:val="0014386C"/>
    <w:rsid w:val="00144565"/>
    <w:rsid w:val="001463E1"/>
    <w:rsid w:val="00147117"/>
    <w:rsid w:val="0015026E"/>
    <w:rsid w:val="00151662"/>
    <w:rsid w:val="00154D9C"/>
    <w:rsid w:val="00156BB9"/>
    <w:rsid w:val="0016450B"/>
    <w:rsid w:val="00164745"/>
    <w:rsid w:val="00164CF5"/>
    <w:rsid w:val="00165A4E"/>
    <w:rsid w:val="001673CC"/>
    <w:rsid w:val="001673E1"/>
    <w:rsid w:val="00167E15"/>
    <w:rsid w:val="0017088A"/>
    <w:rsid w:val="001708E1"/>
    <w:rsid w:val="0017090A"/>
    <w:rsid w:val="00174337"/>
    <w:rsid w:val="001747BD"/>
    <w:rsid w:val="001776DA"/>
    <w:rsid w:val="0018119F"/>
    <w:rsid w:val="0018299F"/>
    <w:rsid w:val="0018462A"/>
    <w:rsid w:val="00186E9C"/>
    <w:rsid w:val="0019067E"/>
    <w:rsid w:val="001954B0"/>
    <w:rsid w:val="00196A9C"/>
    <w:rsid w:val="001A25E7"/>
    <w:rsid w:val="001A312B"/>
    <w:rsid w:val="001A633E"/>
    <w:rsid w:val="001A6F42"/>
    <w:rsid w:val="001B0360"/>
    <w:rsid w:val="001B07C0"/>
    <w:rsid w:val="001B3266"/>
    <w:rsid w:val="001B3B65"/>
    <w:rsid w:val="001B56AC"/>
    <w:rsid w:val="001B5A2D"/>
    <w:rsid w:val="001B5BDD"/>
    <w:rsid w:val="001B6188"/>
    <w:rsid w:val="001B6FD4"/>
    <w:rsid w:val="001B7656"/>
    <w:rsid w:val="001C3447"/>
    <w:rsid w:val="001C3C55"/>
    <w:rsid w:val="001D420D"/>
    <w:rsid w:val="001D4FF0"/>
    <w:rsid w:val="001E0C08"/>
    <w:rsid w:val="001F34D8"/>
    <w:rsid w:val="001F354E"/>
    <w:rsid w:val="001F4650"/>
    <w:rsid w:val="001F5323"/>
    <w:rsid w:val="00203946"/>
    <w:rsid w:val="00206110"/>
    <w:rsid w:val="00213AC2"/>
    <w:rsid w:val="002148C8"/>
    <w:rsid w:val="0022440E"/>
    <w:rsid w:val="00225AB8"/>
    <w:rsid w:val="00227708"/>
    <w:rsid w:val="00230AB1"/>
    <w:rsid w:val="00232448"/>
    <w:rsid w:val="00236E7B"/>
    <w:rsid w:val="00237067"/>
    <w:rsid w:val="002432F3"/>
    <w:rsid w:val="00244746"/>
    <w:rsid w:val="0024532B"/>
    <w:rsid w:val="00252EB9"/>
    <w:rsid w:val="00252ED6"/>
    <w:rsid w:val="002530E9"/>
    <w:rsid w:val="002531DD"/>
    <w:rsid w:val="00263DCB"/>
    <w:rsid w:val="00265E34"/>
    <w:rsid w:val="00270EC4"/>
    <w:rsid w:val="0027479C"/>
    <w:rsid w:val="002801D8"/>
    <w:rsid w:val="00280E01"/>
    <w:rsid w:val="00281B98"/>
    <w:rsid w:val="00281CA4"/>
    <w:rsid w:val="002820B1"/>
    <w:rsid w:val="002864ED"/>
    <w:rsid w:val="00294845"/>
    <w:rsid w:val="00294979"/>
    <w:rsid w:val="0029551B"/>
    <w:rsid w:val="002A07BC"/>
    <w:rsid w:val="002A6D5E"/>
    <w:rsid w:val="002B1647"/>
    <w:rsid w:val="002B1A39"/>
    <w:rsid w:val="002B4766"/>
    <w:rsid w:val="002B5833"/>
    <w:rsid w:val="002B71D0"/>
    <w:rsid w:val="002B72F7"/>
    <w:rsid w:val="002B7E6D"/>
    <w:rsid w:val="002C193F"/>
    <w:rsid w:val="002C1D81"/>
    <w:rsid w:val="002C27DF"/>
    <w:rsid w:val="002C6FF3"/>
    <w:rsid w:val="002C74D3"/>
    <w:rsid w:val="002D2D56"/>
    <w:rsid w:val="002D5283"/>
    <w:rsid w:val="002D61B8"/>
    <w:rsid w:val="002E3949"/>
    <w:rsid w:val="002E3CC2"/>
    <w:rsid w:val="002E46C4"/>
    <w:rsid w:val="002E4E12"/>
    <w:rsid w:val="002E4E2B"/>
    <w:rsid w:val="002E7EB9"/>
    <w:rsid w:val="002F4382"/>
    <w:rsid w:val="002F4965"/>
    <w:rsid w:val="002F695B"/>
    <w:rsid w:val="00301412"/>
    <w:rsid w:val="003040D6"/>
    <w:rsid w:val="003052AE"/>
    <w:rsid w:val="003078CB"/>
    <w:rsid w:val="00312C02"/>
    <w:rsid w:val="003160FC"/>
    <w:rsid w:val="00317AFC"/>
    <w:rsid w:val="0032007E"/>
    <w:rsid w:val="00323A0A"/>
    <w:rsid w:val="00323D70"/>
    <w:rsid w:val="0032629D"/>
    <w:rsid w:val="00330249"/>
    <w:rsid w:val="0033297B"/>
    <w:rsid w:val="003348B2"/>
    <w:rsid w:val="00334AB6"/>
    <w:rsid w:val="003351E5"/>
    <w:rsid w:val="00335A4A"/>
    <w:rsid w:val="00335E3A"/>
    <w:rsid w:val="00340016"/>
    <w:rsid w:val="00340085"/>
    <w:rsid w:val="00340AEF"/>
    <w:rsid w:val="00342609"/>
    <w:rsid w:val="0034648A"/>
    <w:rsid w:val="00351DCC"/>
    <w:rsid w:val="00352A88"/>
    <w:rsid w:val="00357475"/>
    <w:rsid w:val="00360D3D"/>
    <w:rsid w:val="00361DC0"/>
    <w:rsid w:val="00363CE7"/>
    <w:rsid w:val="003667D6"/>
    <w:rsid w:val="0036736E"/>
    <w:rsid w:val="0036745C"/>
    <w:rsid w:val="00371939"/>
    <w:rsid w:val="00372E38"/>
    <w:rsid w:val="003741EC"/>
    <w:rsid w:val="00393B75"/>
    <w:rsid w:val="00394E89"/>
    <w:rsid w:val="00394F6C"/>
    <w:rsid w:val="00395C9C"/>
    <w:rsid w:val="003A07ED"/>
    <w:rsid w:val="003A6CB4"/>
    <w:rsid w:val="003B49A2"/>
    <w:rsid w:val="003B54D0"/>
    <w:rsid w:val="003C0014"/>
    <w:rsid w:val="003C7235"/>
    <w:rsid w:val="003C7DDC"/>
    <w:rsid w:val="003D4761"/>
    <w:rsid w:val="003D52FF"/>
    <w:rsid w:val="003D5FB8"/>
    <w:rsid w:val="003D613D"/>
    <w:rsid w:val="003D7222"/>
    <w:rsid w:val="003E2895"/>
    <w:rsid w:val="003F0D6D"/>
    <w:rsid w:val="003F1216"/>
    <w:rsid w:val="003F394A"/>
    <w:rsid w:val="003F6AC0"/>
    <w:rsid w:val="003F6EDB"/>
    <w:rsid w:val="004017C8"/>
    <w:rsid w:val="004048F7"/>
    <w:rsid w:val="0040511F"/>
    <w:rsid w:val="00405A2C"/>
    <w:rsid w:val="00406EFE"/>
    <w:rsid w:val="004132E8"/>
    <w:rsid w:val="004144F5"/>
    <w:rsid w:val="004167EF"/>
    <w:rsid w:val="0041787F"/>
    <w:rsid w:val="00420984"/>
    <w:rsid w:val="00421CFE"/>
    <w:rsid w:val="00425E1E"/>
    <w:rsid w:val="0042638A"/>
    <w:rsid w:val="00426497"/>
    <w:rsid w:val="00430BA2"/>
    <w:rsid w:val="0043213E"/>
    <w:rsid w:val="004340D9"/>
    <w:rsid w:val="00434BA6"/>
    <w:rsid w:val="00435AF8"/>
    <w:rsid w:val="00440804"/>
    <w:rsid w:val="004410D0"/>
    <w:rsid w:val="00453587"/>
    <w:rsid w:val="0045695A"/>
    <w:rsid w:val="00461743"/>
    <w:rsid w:val="00467457"/>
    <w:rsid w:val="00473965"/>
    <w:rsid w:val="004763E9"/>
    <w:rsid w:val="00477714"/>
    <w:rsid w:val="00480BD2"/>
    <w:rsid w:val="00482EF2"/>
    <w:rsid w:val="00485911"/>
    <w:rsid w:val="00485DF5"/>
    <w:rsid w:val="00487EA2"/>
    <w:rsid w:val="004922E9"/>
    <w:rsid w:val="00492FF9"/>
    <w:rsid w:val="004961B8"/>
    <w:rsid w:val="004975A2"/>
    <w:rsid w:val="004A034B"/>
    <w:rsid w:val="004A29B5"/>
    <w:rsid w:val="004A6ABB"/>
    <w:rsid w:val="004A6E89"/>
    <w:rsid w:val="004B0F74"/>
    <w:rsid w:val="004B11EA"/>
    <w:rsid w:val="004B2DA6"/>
    <w:rsid w:val="004B6352"/>
    <w:rsid w:val="004B6CC8"/>
    <w:rsid w:val="004C0BD5"/>
    <w:rsid w:val="004C2657"/>
    <w:rsid w:val="004D0580"/>
    <w:rsid w:val="004D20AE"/>
    <w:rsid w:val="004D2419"/>
    <w:rsid w:val="004D3FFA"/>
    <w:rsid w:val="004D7502"/>
    <w:rsid w:val="004E04D8"/>
    <w:rsid w:val="004E35BF"/>
    <w:rsid w:val="004E7429"/>
    <w:rsid w:val="00500285"/>
    <w:rsid w:val="005028B8"/>
    <w:rsid w:val="00504B35"/>
    <w:rsid w:val="0051049B"/>
    <w:rsid w:val="005107F3"/>
    <w:rsid w:val="005118BC"/>
    <w:rsid w:val="00512AF3"/>
    <w:rsid w:val="00521911"/>
    <w:rsid w:val="00521D37"/>
    <w:rsid w:val="00527EA7"/>
    <w:rsid w:val="00531CA5"/>
    <w:rsid w:val="00532D5F"/>
    <w:rsid w:val="00532E6E"/>
    <w:rsid w:val="00536CA6"/>
    <w:rsid w:val="005374B3"/>
    <w:rsid w:val="00541604"/>
    <w:rsid w:val="00546463"/>
    <w:rsid w:val="0055023A"/>
    <w:rsid w:val="00551F94"/>
    <w:rsid w:val="005523E4"/>
    <w:rsid w:val="005531A8"/>
    <w:rsid w:val="00554BEA"/>
    <w:rsid w:val="0055564E"/>
    <w:rsid w:val="00556474"/>
    <w:rsid w:val="0056015D"/>
    <w:rsid w:val="00561135"/>
    <w:rsid w:val="00564659"/>
    <w:rsid w:val="00564B91"/>
    <w:rsid w:val="0056595F"/>
    <w:rsid w:val="00565D39"/>
    <w:rsid w:val="00567541"/>
    <w:rsid w:val="00571CB1"/>
    <w:rsid w:val="005724DD"/>
    <w:rsid w:val="00575C3A"/>
    <w:rsid w:val="005809F9"/>
    <w:rsid w:val="00582B89"/>
    <w:rsid w:val="005842DF"/>
    <w:rsid w:val="00584625"/>
    <w:rsid w:val="005931E3"/>
    <w:rsid w:val="005946BD"/>
    <w:rsid w:val="0059540A"/>
    <w:rsid w:val="005969A0"/>
    <w:rsid w:val="00596F0C"/>
    <w:rsid w:val="0059767E"/>
    <w:rsid w:val="005A0576"/>
    <w:rsid w:val="005A2671"/>
    <w:rsid w:val="005A3FFD"/>
    <w:rsid w:val="005A5C3A"/>
    <w:rsid w:val="005A6BF7"/>
    <w:rsid w:val="005B44D7"/>
    <w:rsid w:val="005B4BD7"/>
    <w:rsid w:val="005B7C17"/>
    <w:rsid w:val="005C04FF"/>
    <w:rsid w:val="005C103C"/>
    <w:rsid w:val="005C2A58"/>
    <w:rsid w:val="005C36F0"/>
    <w:rsid w:val="005C372E"/>
    <w:rsid w:val="005C3A19"/>
    <w:rsid w:val="005C3D2A"/>
    <w:rsid w:val="005C7D84"/>
    <w:rsid w:val="005C7DC0"/>
    <w:rsid w:val="005D06AC"/>
    <w:rsid w:val="005E0ADD"/>
    <w:rsid w:val="005E1B30"/>
    <w:rsid w:val="005E3159"/>
    <w:rsid w:val="005E43CD"/>
    <w:rsid w:val="005F1416"/>
    <w:rsid w:val="005F6327"/>
    <w:rsid w:val="0060286B"/>
    <w:rsid w:val="00604068"/>
    <w:rsid w:val="00617BCC"/>
    <w:rsid w:val="00620673"/>
    <w:rsid w:val="006305DD"/>
    <w:rsid w:val="00630F03"/>
    <w:rsid w:val="00632E6E"/>
    <w:rsid w:val="00636EC2"/>
    <w:rsid w:val="006408BD"/>
    <w:rsid w:val="006432CA"/>
    <w:rsid w:val="0064432F"/>
    <w:rsid w:val="00646723"/>
    <w:rsid w:val="00646E16"/>
    <w:rsid w:val="006475B8"/>
    <w:rsid w:val="006505E4"/>
    <w:rsid w:val="00650BC1"/>
    <w:rsid w:val="00650C52"/>
    <w:rsid w:val="006543B5"/>
    <w:rsid w:val="00656A3C"/>
    <w:rsid w:val="006723FE"/>
    <w:rsid w:val="00672712"/>
    <w:rsid w:val="00680F4B"/>
    <w:rsid w:val="0068387E"/>
    <w:rsid w:val="00683999"/>
    <w:rsid w:val="00692005"/>
    <w:rsid w:val="006A30A9"/>
    <w:rsid w:val="006A3E83"/>
    <w:rsid w:val="006A56F3"/>
    <w:rsid w:val="006A609C"/>
    <w:rsid w:val="006B545F"/>
    <w:rsid w:val="006B5F9D"/>
    <w:rsid w:val="006B766B"/>
    <w:rsid w:val="006B7BFC"/>
    <w:rsid w:val="006C0F6E"/>
    <w:rsid w:val="006C49E8"/>
    <w:rsid w:val="006C6D07"/>
    <w:rsid w:val="006D0D94"/>
    <w:rsid w:val="006D3653"/>
    <w:rsid w:val="006D3E2F"/>
    <w:rsid w:val="006D5BA0"/>
    <w:rsid w:val="006E06CA"/>
    <w:rsid w:val="006E5686"/>
    <w:rsid w:val="006F069C"/>
    <w:rsid w:val="006F1407"/>
    <w:rsid w:val="006F1E0C"/>
    <w:rsid w:val="006F26FA"/>
    <w:rsid w:val="007002D2"/>
    <w:rsid w:val="0070577F"/>
    <w:rsid w:val="00707411"/>
    <w:rsid w:val="007100F5"/>
    <w:rsid w:val="007111E2"/>
    <w:rsid w:val="00711FF6"/>
    <w:rsid w:val="0071497E"/>
    <w:rsid w:val="00717BB9"/>
    <w:rsid w:val="00722B21"/>
    <w:rsid w:val="00723988"/>
    <w:rsid w:val="00725A5C"/>
    <w:rsid w:val="007279C1"/>
    <w:rsid w:val="00727B24"/>
    <w:rsid w:val="0073000F"/>
    <w:rsid w:val="00734880"/>
    <w:rsid w:val="0073613B"/>
    <w:rsid w:val="007378BA"/>
    <w:rsid w:val="00737CA8"/>
    <w:rsid w:val="00741A27"/>
    <w:rsid w:val="0074308A"/>
    <w:rsid w:val="0074373B"/>
    <w:rsid w:val="00752AF9"/>
    <w:rsid w:val="00754327"/>
    <w:rsid w:val="007547CC"/>
    <w:rsid w:val="00754C3F"/>
    <w:rsid w:val="00757CEE"/>
    <w:rsid w:val="00760A3E"/>
    <w:rsid w:val="0076103C"/>
    <w:rsid w:val="00762CCA"/>
    <w:rsid w:val="00765DDC"/>
    <w:rsid w:val="00770C13"/>
    <w:rsid w:val="007714B0"/>
    <w:rsid w:val="00773E52"/>
    <w:rsid w:val="007741F0"/>
    <w:rsid w:val="00775EC2"/>
    <w:rsid w:val="00782876"/>
    <w:rsid w:val="00784835"/>
    <w:rsid w:val="007868FB"/>
    <w:rsid w:val="007944C6"/>
    <w:rsid w:val="007A09C3"/>
    <w:rsid w:val="007A21B7"/>
    <w:rsid w:val="007A400D"/>
    <w:rsid w:val="007A444D"/>
    <w:rsid w:val="007A5948"/>
    <w:rsid w:val="007A5C21"/>
    <w:rsid w:val="007B136D"/>
    <w:rsid w:val="007B31B3"/>
    <w:rsid w:val="007B562B"/>
    <w:rsid w:val="007B6456"/>
    <w:rsid w:val="007C082D"/>
    <w:rsid w:val="007C20D5"/>
    <w:rsid w:val="007C313F"/>
    <w:rsid w:val="007C4380"/>
    <w:rsid w:val="007C614B"/>
    <w:rsid w:val="007C6EDF"/>
    <w:rsid w:val="007D757B"/>
    <w:rsid w:val="007E0AE4"/>
    <w:rsid w:val="007E0FB1"/>
    <w:rsid w:val="007E12A8"/>
    <w:rsid w:val="007E235F"/>
    <w:rsid w:val="007E2716"/>
    <w:rsid w:val="007E2AEA"/>
    <w:rsid w:val="007E4417"/>
    <w:rsid w:val="007E4EE3"/>
    <w:rsid w:val="007F3CDF"/>
    <w:rsid w:val="007F431D"/>
    <w:rsid w:val="007F641C"/>
    <w:rsid w:val="0080041F"/>
    <w:rsid w:val="008045E0"/>
    <w:rsid w:val="0080669B"/>
    <w:rsid w:val="00811FEC"/>
    <w:rsid w:val="008129FF"/>
    <w:rsid w:val="008145DC"/>
    <w:rsid w:val="00814F11"/>
    <w:rsid w:val="00821D7F"/>
    <w:rsid w:val="00825C09"/>
    <w:rsid w:val="00830621"/>
    <w:rsid w:val="00832F09"/>
    <w:rsid w:val="0083604A"/>
    <w:rsid w:val="008450BB"/>
    <w:rsid w:val="0085003D"/>
    <w:rsid w:val="0085316B"/>
    <w:rsid w:val="008551FB"/>
    <w:rsid w:val="00862EB0"/>
    <w:rsid w:val="008678BC"/>
    <w:rsid w:val="008721F1"/>
    <w:rsid w:val="0087240C"/>
    <w:rsid w:val="00876257"/>
    <w:rsid w:val="008806A8"/>
    <w:rsid w:val="00882330"/>
    <w:rsid w:val="0088348B"/>
    <w:rsid w:val="008834DA"/>
    <w:rsid w:val="00884081"/>
    <w:rsid w:val="008873C6"/>
    <w:rsid w:val="0089248D"/>
    <w:rsid w:val="008936BC"/>
    <w:rsid w:val="008942F2"/>
    <w:rsid w:val="008A2A34"/>
    <w:rsid w:val="008A60AE"/>
    <w:rsid w:val="008B05D6"/>
    <w:rsid w:val="008B2C1D"/>
    <w:rsid w:val="008B448C"/>
    <w:rsid w:val="008B4FAC"/>
    <w:rsid w:val="008B593A"/>
    <w:rsid w:val="008B7D7E"/>
    <w:rsid w:val="008C4B96"/>
    <w:rsid w:val="008C59C7"/>
    <w:rsid w:val="008C6674"/>
    <w:rsid w:val="008C7741"/>
    <w:rsid w:val="008D32EB"/>
    <w:rsid w:val="008D47CA"/>
    <w:rsid w:val="008D6975"/>
    <w:rsid w:val="008E0523"/>
    <w:rsid w:val="008E05EB"/>
    <w:rsid w:val="008E372C"/>
    <w:rsid w:val="008E5D27"/>
    <w:rsid w:val="008E7AE5"/>
    <w:rsid w:val="008F2AB7"/>
    <w:rsid w:val="008F2B92"/>
    <w:rsid w:val="008F5642"/>
    <w:rsid w:val="00902EA2"/>
    <w:rsid w:val="00903510"/>
    <w:rsid w:val="0090485E"/>
    <w:rsid w:val="00904B7A"/>
    <w:rsid w:val="009140A8"/>
    <w:rsid w:val="00916419"/>
    <w:rsid w:val="00920247"/>
    <w:rsid w:val="00920306"/>
    <w:rsid w:val="009206C5"/>
    <w:rsid w:val="009207F8"/>
    <w:rsid w:val="009236AB"/>
    <w:rsid w:val="00924586"/>
    <w:rsid w:val="00927E54"/>
    <w:rsid w:val="00930269"/>
    <w:rsid w:val="00931E2B"/>
    <w:rsid w:val="00941670"/>
    <w:rsid w:val="00942915"/>
    <w:rsid w:val="009429D7"/>
    <w:rsid w:val="00951541"/>
    <w:rsid w:val="00955445"/>
    <w:rsid w:val="00957159"/>
    <w:rsid w:val="009579FC"/>
    <w:rsid w:val="00960B4C"/>
    <w:rsid w:val="00960C28"/>
    <w:rsid w:val="00962013"/>
    <w:rsid w:val="00962706"/>
    <w:rsid w:val="00962CF1"/>
    <w:rsid w:val="00963A62"/>
    <w:rsid w:val="00965DD0"/>
    <w:rsid w:val="00966CA1"/>
    <w:rsid w:val="009678C9"/>
    <w:rsid w:val="009728A6"/>
    <w:rsid w:val="0097507F"/>
    <w:rsid w:val="0097676B"/>
    <w:rsid w:val="009774FF"/>
    <w:rsid w:val="0097779E"/>
    <w:rsid w:val="00986DAD"/>
    <w:rsid w:val="009877FD"/>
    <w:rsid w:val="0099128F"/>
    <w:rsid w:val="00991354"/>
    <w:rsid w:val="00993297"/>
    <w:rsid w:val="009968A8"/>
    <w:rsid w:val="00997561"/>
    <w:rsid w:val="009A3580"/>
    <w:rsid w:val="009A58E1"/>
    <w:rsid w:val="009A682F"/>
    <w:rsid w:val="009B057A"/>
    <w:rsid w:val="009B2B19"/>
    <w:rsid w:val="009B3AA6"/>
    <w:rsid w:val="009B4281"/>
    <w:rsid w:val="009B5CF0"/>
    <w:rsid w:val="009C3751"/>
    <w:rsid w:val="009C4BF0"/>
    <w:rsid w:val="009C57B8"/>
    <w:rsid w:val="009C6401"/>
    <w:rsid w:val="009D3C7B"/>
    <w:rsid w:val="009D3D8E"/>
    <w:rsid w:val="009D3E43"/>
    <w:rsid w:val="009D497E"/>
    <w:rsid w:val="009E1F45"/>
    <w:rsid w:val="009E1FA2"/>
    <w:rsid w:val="009E4075"/>
    <w:rsid w:val="009E4947"/>
    <w:rsid w:val="009E4DC9"/>
    <w:rsid w:val="009E7506"/>
    <w:rsid w:val="009F4329"/>
    <w:rsid w:val="009F7507"/>
    <w:rsid w:val="009F799F"/>
    <w:rsid w:val="00A00488"/>
    <w:rsid w:val="00A00604"/>
    <w:rsid w:val="00A02005"/>
    <w:rsid w:val="00A03659"/>
    <w:rsid w:val="00A0573C"/>
    <w:rsid w:val="00A05DE6"/>
    <w:rsid w:val="00A0760C"/>
    <w:rsid w:val="00A1031B"/>
    <w:rsid w:val="00A11923"/>
    <w:rsid w:val="00A12106"/>
    <w:rsid w:val="00A12A12"/>
    <w:rsid w:val="00A23A8C"/>
    <w:rsid w:val="00A240E3"/>
    <w:rsid w:val="00A248AC"/>
    <w:rsid w:val="00A26393"/>
    <w:rsid w:val="00A26A28"/>
    <w:rsid w:val="00A345C8"/>
    <w:rsid w:val="00A34F6B"/>
    <w:rsid w:val="00A35040"/>
    <w:rsid w:val="00A4155A"/>
    <w:rsid w:val="00A41855"/>
    <w:rsid w:val="00A456E3"/>
    <w:rsid w:val="00A45BBE"/>
    <w:rsid w:val="00A464D9"/>
    <w:rsid w:val="00A476E6"/>
    <w:rsid w:val="00A513C8"/>
    <w:rsid w:val="00A5175E"/>
    <w:rsid w:val="00A52429"/>
    <w:rsid w:val="00A54DB6"/>
    <w:rsid w:val="00A62CFB"/>
    <w:rsid w:val="00A66F57"/>
    <w:rsid w:val="00A7067F"/>
    <w:rsid w:val="00A70781"/>
    <w:rsid w:val="00A718AD"/>
    <w:rsid w:val="00A72276"/>
    <w:rsid w:val="00A73F1F"/>
    <w:rsid w:val="00A7437A"/>
    <w:rsid w:val="00A7525D"/>
    <w:rsid w:val="00A752B6"/>
    <w:rsid w:val="00A76395"/>
    <w:rsid w:val="00A77F82"/>
    <w:rsid w:val="00A80906"/>
    <w:rsid w:val="00A8154C"/>
    <w:rsid w:val="00A82327"/>
    <w:rsid w:val="00A87DE6"/>
    <w:rsid w:val="00A910A7"/>
    <w:rsid w:val="00A9195A"/>
    <w:rsid w:val="00A92452"/>
    <w:rsid w:val="00A943C3"/>
    <w:rsid w:val="00A94AE3"/>
    <w:rsid w:val="00A95737"/>
    <w:rsid w:val="00AA358E"/>
    <w:rsid w:val="00AA6F22"/>
    <w:rsid w:val="00AB2A02"/>
    <w:rsid w:val="00AB330E"/>
    <w:rsid w:val="00AB3C85"/>
    <w:rsid w:val="00AB3E7B"/>
    <w:rsid w:val="00AB521C"/>
    <w:rsid w:val="00AB6F8B"/>
    <w:rsid w:val="00AC09D9"/>
    <w:rsid w:val="00AC43EF"/>
    <w:rsid w:val="00AC4B70"/>
    <w:rsid w:val="00AD2444"/>
    <w:rsid w:val="00AD2A78"/>
    <w:rsid w:val="00AD3525"/>
    <w:rsid w:val="00AD7414"/>
    <w:rsid w:val="00AE1633"/>
    <w:rsid w:val="00AE26FE"/>
    <w:rsid w:val="00AE2EED"/>
    <w:rsid w:val="00AE3994"/>
    <w:rsid w:val="00AF2320"/>
    <w:rsid w:val="00AF5C30"/>
    <w:rsid w:val="00B01FC1"/>
    <w:rsid w:val="00B022E2"/>
    <w:rsid w:val="00B117D6"/>
    <w:rsid w:val="00B11CD2"/>
    <w:rsid w:val="00B13B0B"/>
    <w:rsid w:val="00B2029A"/>
    <w:rsid w:val="00B22EAE"/>
    <w:rsid w:val="00B26FC2"/>
    <w:rsid w:val="00B30748"/>
    <w:rsid w:val="00B307B6"/>
    <w:rsid w:val="00B32911"/>
    <w:rsid w:val="00B35830"/>
    <w:rsid w:val="00B35D2E"/>
    <w:rsid w:val="00B35E30"/>
    <w:rsid w:val="00B40242"/>
    <w:rsid w:val="00B43562"/>
    <w:rsid w:val="00B454CE"/>
    <w:rsid w:val="00B471A3"/>
    <w:rsid w:val="00B51C93"/>
    <w:rsid w:val="00B51E9E"/>
    <w:rsid w:val="00B52748"/>
    <w:rsid w:val="00B52856"/>
    <w:rsid w:val="00B53604"/>
    <w:rsid w:val="00B569EB"/>
    <w:rsid w:val="00B60095"/>
    <w:rsid w:val="00B677B8"/>
    <w:rsid w:val="00B67BCB"/>
    <w:rsid w:val="00B70743"/>
    <w:rsid w:val="00B70C90"/>
    <w:rsid w:val="00B7153C"/>
    <w:rsid w:val="00B7327F"/>
    <w:rsid w:val="00B738F6"/>
    <w:rsid w:val="00B80B02"/>
    <w:rsid w:val="00B861CA"/>
    <w:rsid w:val="00B90DA3"/>
    <w:rsid w:val="00B91A68"/>
    <w:rsid w:val="00B91FA0"/>
    <w:rsid w:val="00B92D36"/>
    <w:rsid w:val="00B94FE3"/>
    <w:rsid w:val="00B954F3"/>
    <w:rsid w:val="00BA2CE2"/>
    <w:rsid w:val="00BA3491"/>
    <w:rsid w:val="00BA5D35"/>
    <w:rsid w:val="00BA6D47"/>
    <w:rsid w:val="00BB1EE4"/>
    <w:rsid w:val="00BB4D18"/>
    <w:rsid w:val="00BB55F1"/>
    <w:rsid w:val="00BC0610"/>
    <w:rsid w:val="00BC132B"/>
    <w:rsid w:val="00BC58C1"/>
    <w:rsid w:val="00BC722E"/>
    <w:rsid w:val="00BD5B04"/>
    <w:rsid w:val="00BE1589"/>
    <w:rsid w:val="00BE2B07"/>
    <w:rsid w:val="00BE3C69"/>
    <w:rsid w:val="00BE474E"/>
    <w:rsid w:val="00BE59CB"/>
    <w:rsid w:val="00BF0F2A"/>
    <w:rsid w:val="00BF39BC"/>
    <w:rsid w:val="00BF7A7F"/>
    <w:rsid w:val="00C0265D"/>
    <w:rsid w:val="00C0431E"/>
    <w:rsid w:val="00C07B29"/>
    <w:rsid w:val="00C106EE"/>
    <w:rsid w:val="00C145CB"/>
    <w:rsid w:val="00C26D61"/>
    <w:rsid w:val="00C2749E"/>
    <w:rsid w:val="00C34BA7"/>
    <w:rsid w:val="00C357BE"/>
    <w:rsid w:val="00C410D8"/>
    <w:rsid w:val="00C4150F"/>
    <w:rsid w:val="00C43833"/>
    <w:rsid w:val="00C43CFE"/>
    <w:rsid w:val="00C43DE1"/>
    <w:rsid w:val="00C44ED4"/>
    <w:rsid w:val="00C5009D"/>
    <w:rsid w:val="00C50739"/>
    <w:rsid w:val="00C52B98"/>
    <w:rsid w:val="00C52FA5"/>
    <w:rsid w:val="00C532F8"/>
    <w:rsid w:val="00C54F14"/>
    <w:rsid w:val="00C558F9"/>
    <w:rsid w:val="00C60754"/>
    <w:rsid w:val="00C60EB6"/>
    <w:rsid w:val="00C6381F"/>
    <w:rsid w:val="00C63A43"/>
    <w:rsid w:val="00C65B70"/>
    <w:rsid w:val="00C677FF"/>
    <w:rsid w:val="00C7488D"/>
    <w:rsid w:val="00C75A56"/>
    <w:rsid w:val="00C80364"/>
    <w:rsid w:val="00C82894"/>
    <w:rsid w:val="00C90066"/>
    <w:rsid w:val="00C95227"/>
    <w:rsid w:val="00C95AC2"/>
    <w:rsid w:val="00C96F3A"/>
    <w:rsid w:val="00CA05AD"/>
    <w:rsid w:val="00CA1749"/>
    <w:rsid w:val="00CA2A5F"/>
    <w:rsid w:val="00CA4476"/>
    <w:rsid w:val="00CA6307"/>
    <w:rsid w:val="00CC11A3"/>
    <w:rsid w:val="00CC17D8"/>
    <w:rsid w:val="00CC1947"/>
    <w:rsid w:val="00CC43E8"/>
    <w:rsid w:val="00CC52E5"/>
    <w:rsid w:val="00CC6DA2"/>
    <w:rsid w:val="00CD32D8"/>
    <w:rsid w:val="00CD49D2"/>
    <w:rsid w:val="00CD64A0"/>
    <w:rsid w:val="00CD7162"/>
    <w:rsid w:val="00CD7456"/>
    <w:rsid w:val="00CD7EBD"/>
    <w:rsid w:val="00CE1878"/>
    <w:rsid w:val="00CE48FE"/>
    <w:rsid w:val="00CE61F6"/>
    <w:rsid w:val="00CE77B9"/>
    <w:rsid w:val="00CF030E"/>
    <w:rsid w:val="00CF0F24"/>
    <w:rsid w:val="00CF1A31"/>
    <w:rsid w:val="00CF2168"/>
    <w:rsid w:val="00CF413E"/>
    <w:rsid w:val="00D01E6D"/>
    <w:rsid w:val="00D02713"/>
    <w:rsid w:val="00D0309B"/>
    <w:rsid w:val="00D03FD9"/>
    <w:rsid w:val="00D04739"/>
    <w:rsid w:val="00D048CD"/>
    <w:rsid w:val="00D04A85"/>
    <w:rsid w:val="00D071B9"/>
    <w:rsid w:val="00D1187C"/>
    <w:rsid w:val="00D17279"/>
    <w:rsid w:val="00D20029"/>
    <w:rsid w:val="00D245CA"/>
    <w:rsid w:val="00D2463D"/>
    <w:rsid w:val="00D2470D"/>
    <w:rsid w:val="00D25669"/>
    <w:rsid w:val="00D30C40"/>
    <w:rsid w:val="00D3133E"/>
    <w:rsid w:val="00D34254"/>
    <w:rsid w:val="00D35ECD"/>
    <w:rsid w:val="00D36509"/>
    <w:rsid w:val="00D3784B"/>
    <w:rsid w:val="00D41EAC"/>
    <w:rsid w:val="00D4269C"/>
    <w:rsid w:val="00D43066"/>
    <w:rsid w:val="00D4411A"/>
    <w:rsid w:val="00D44DB0"/>
    <w:rsid w:val="00D5384A"/>
    <w:rsid w:val="00D6753F"/>
    <w:rsid w:val="00D70A67"/>
    <w:rsid w:val="00D70ED6"/>
    <w:rsid w:val="00D732AC"/>
    <w:rsid w:val="00D7703B"/>
    <w:rsid w:val="00D776BD"/>
    <w:rsid w:val="00D82680"/>
    <w:rsid w:val="00D83531"/>
    <w:rsid w:val="00D83DBD"/>
    <w:rsid w:val="00D908F7"/>
    <w:rsid w:val="00DA752D"/>
    <w:rsid w:val="00DB0916"/>
    <w:rsid w:val="00DB0A08"/>
    <w:rsid w:val="00DB5E9E"/>
    <w:rsid w:val="00DC084D"/>
    <w:rsid w:val="00DC2222"/>
    <w:rsid w:val="00DC4CC3"/>
    <w:rsid w:val="00DC596D"/>
    <w:rsid w:val="00DC758B"/>
    <w:rsid w:val="00DD010F"/>
    <w:rsid w:val="00DD05F5"/>
    <w:rsid w:val="00DD5754"/>
    <w:rsid w:val="00DD7BB8"/>
    <w:rsid w:val="00DE243F"/>
    <w:rsid w:val="00DE2C3D"/>
    <w:rsid w:val="00DF0C15"/>
    <w:rsid w:val="00DF1443"/>
    <w:rsid w:val="00DF37F4"/>
    <w:rsid w:val="00DF3849"/>
    <w:rsid w:val="00DF3AE0"/>
    <w:rsid w:val="00DF5BEA"/>
    <w:rsid w:val="00DF6598"/>
    <w:rsid w:val="00DF7FA5"/>
    <w:rsid w:val="00E00736"/>
    <w:rsid w:val="00E036A7"/>
    <w:rsid w:val="00E04B6F"/>
    <w:rsid w:val="00E05106"/>
    <w:rsid w:val="00E05412"/>
    <w:rsid w:val="00E06111"/>
    <w:rsid w:val="00E06654"/>
    <w:rsid w:val="00E10C3D"/>
    <w:rsid w:val="00E11FA1"/>
    <w:rsid w:val="00E170AE"/>
    <w:rsid w:val="00E20624"/>
    <w:rsid w:val="00E22D2F"/>
    <w:rsid w:val="00E241C8"/>
    <w:rsid w:val="00E25C9A"/>
    <w:rsid w:val="00E264E4"/>
    <w:rsid w:val="00E2759C"/>
    <w:rsid w:val="00E321BF"/>
    <w:rsid w:val="00E35B2E"/>
    <w:rsid w:val="00E40495"/>
    <w:rsid w:val="00E41F0C"/>
    <w:rsid w:val="00E432A8"/>
    <w:rsid w:val="00E44A61"/>
    <w:rsid w:val="00E46330"/>
    <w:rsid w:val="00E46A36"/>
    <w:rsid w:val="00E51093"/>
    <w:rsid w:val="00E514D1"/>
    <w:rsid w:val="00E575D1"/>
    <w:rsid w:val="00E579B8"/>
    <w:rsid w:val="00E61397"/>
    <w:rsid w:val="00E66A74"/>
    <w:rsid w:val="00E80461"/>
    <w:rsid w:val="00E814E1"/>
    <w:rsid w:val="00E83136"/>
    <w:rsid w:val="00E84B45"/>
    <w:rsid w:val="00E869AE"/>
    <w:rsid w:val="00E8748A"/>
    <w:rsid w:val="00E9075B"/>
    <w:rsid w:val="00E90826"/>
    <w:rsid w:val="00E92ECA"/>
    <w:rsid w:val="00E94454"/>
    <w:rsid w:val="00E96D62"/>
    <w:rsid w:val="00EA4EF9"/>
    <w:rsid w:val="00EA5D65"/>
    <w:rsid w:val="00EA63B3"/>
    <w:rsid w:val="00EA6B88"/>
    <w:rsid w:val="00EB21F0"/>
    <w:rsid w:val="00EB4650"/>
    <w:rsid w:val="00EC0FE6"/>
    <w:rsid w:val="00EC2D12"/>
    <w:rsid w:val="00EC4B87"/>
    <w:rsid w:val="00EC6497"/>
    <w:rsid w:val="00EE199C"/>
    <w:rsid w:val="00EE5463"/>
    <w:rsid w:val="00EF11F1"/>
    <w:rsid w:val="00EF1CC3"/>
    <w:rsid w:val="00EF42FE"/>
    <w:rsid w:val="00EF4F03"/>
    <w:rsid w:val="00EF55BE"/>
    <w:rsid w:val="00F02E4C"/>
    <w:rsid w:val="00F03078"/>
    <w:rsid w:val="00F03960"/>
    <w:rsid w:val="00F056A8"/>
    <w:rsid w:val="00F06848"/>
    <w:rsid w:val="00F109CF"/>
    <w:rsid w:val="00F13151"/>
    <w:rsid w:val="00F14E30"/>
    <w:rsid w:val="00F15B53"/>
    <w:rsid w:val="00F20D7D"/>
    <w:rsid w:val="00F2125A"/>
    <w:rsid w:val="00F221F5"/>
    <w:rsid w:val="00F30A60"/>
    <w:rsid w:val="00F32949"/>
    <w:rsid w:val="00F336F1"/>
    <w:rsid w:val="00F344D2"/>
    <w:rsid w:val="00F42650"/>
    <w:rsid w:val="00F43329"/>
    <w:rsid w:val="00F4361D"/>
    <w:rsid w:val="00F43BD6"/>
    <w:rsid w:val="00F44781"/>
    <w:rsid w:val="00F46456"/>
    <w:rsid w:val="00F4648F"/>
    <w:rsid w:val="00F468B9"/>
    <w:rsid w:val="00F50500"/>
    <w:rsid w:val="00F50916"/>
    <w:rsid w:val="00F52A01"/>
    <w:rsid w:val="00F55DBF"/>
    <w:rsid w:val="00F60459"/>
    <w:rsid w:val="00F62D9A"/>
    <w:rsid w:val="00F65271"/>
    <w:rsid w:val="00F67745"/>
    <w:rsid w:val="00F704EA"/>
    <w:rsid w:val="00F71284"/>
    <w:rsid w:val="00F720A1"/>
    <w:rsid w:val="00F72EFA"/>
    <w:rsid w:val="00F75FB3"/>
    <w:rsid w:val="00F77420"/>
    <w:rsid w:val="00F81493"/>
    <w:rsid w:val="00F84A16"/>
    <w:rsid w:val="00F87F6D"/>
    <w:rsid w:val="00F9201E"/>
    <w:rsid w:val="00F9302F"/>
    <w:rsid w:val="00F96FB7"/>
    <w:rsid w:val="00F9708C"/>
    <w:rsid w:val="00FA39E3"/>
    <w:rsid w:val="00FB2273"/>
    <w:rsid w:val="00FB2F7E"/>
    <w:rsid w:val="00FB4F53"/>
    <w:rsid w:val="00FB5A91"/>
    <w:rsid w:val="00FB7068"/>
    <w:rsid w:val="00FB75ED"/>
    <w:rsid w:val="00FB7DCA"/>
    <w:rsid w:val="00FC5C00"/>
    <w:rsid w:val="00FC6D14"/>
    <w:rsid w:val="00FD06B5"/>
    <w:rsid w:val="00FD1A31"/>
    <w:rsid w:val="00FD1E4E"/>
    <w:rsid w:val="00FD1F6F"/>
    <w:rsid w:val="00FD4CFF"/>
    <w:rsid w:val="00FD54F5"/>
    <w:rsid w:val="00FD6351"/>
    <w:rsid w:val="00FD64B0"/>
    <w:rsid w:val="00FD7BCE"/>
    <w:rsid w:val="00FD7C61"/>
    <w:rsid w:val="00FE0402"/>
    <w:rsid w:val="00FE257C"/>
    <w:rsid w:val="00FF2D98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B29E87"/>
  <w15:chartTrackingRefBased/>
  <w15:docId w15:val="{79E0C761-A6F1-4D4B-B9B1-91D22532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36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3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77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D7703B"/>
    <w:rPr>
      <w:b/>
      <w:bCs/>
    </w:rPr>
  </w:style>
  <w:style w:type="table" w:styleId="TableGrid">
    <w:name w:val="Table Grid"/>
    <w:basedOn w:val="TableNormal"/>
    <w:uiPriority w:val="39"/>
    <w:rsid w:val="00C07B2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CD49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D49D2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E814E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604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7C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C7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7C7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C7C"/>
    <w:rPr>
      <w:rFonts w:eastAsiaTheme="minorEastAsia"/>
    </w:rPr>
  </w:style>
  <w:style w:type="table" w:styleId="PlainTable3">
    <w:name w:val="Plain Table 3"/>
    <w:basedOn w:val="TableNormal"/>
    <w:uiPriority w:val="43"/>
    <w:rsid w:val="00DC75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75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758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bulgargaz-my.sharepoint.com/personal/o_yankova_bulgargaz_bg/Documents/Desktop/&#1048;&#1079;&#1087;&#1098;&#1083;&#1085;&#1077;&#1085;&#1080;&#1077;%20&#1085;&#1072;%20&#1041;&#1080;&#1079;&#1085;&#1077;&#1089;%20&#1087;&#1088;&#1086;&#1075;&#1088;&#1072;&#1084;&#1072;_2024/&#1054;&#1090;&#1095;&#1077;&#1090;%20&#1079;&#1072;%20&#1080;&#1079;&#1087;&#1098;&#1083;&#1085;&#1077;&#1085;&#1080;&#1077;%20&#1085;&#1072;%20&#1087;&#1083;&#1072;&#1085;&#1072;%20&#1079;&#1072;%20&#1086;&#1087;&#1090;&#1080;&#1084;&#1080;&#1079;&#1080;&#1088;&#1072;&#1085;&#1077;%20&#1085;&#1072;%20&#1088;&#1072;&#1079;&#1093;&#1086;&#1076;&#1080;%20&#1079;&#1072;%202024%20&#1075;/&#1055;&#1086;&#1082;&#1072;&#1079;&#1072;&#1090;&#1077;&#1083;&#1080;%20&#1080;%20&#1075;&#1088;&#1072;&#1092;&#1080;&#1082;&#1080;2024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bulgargaz-my.sharepoint.com/personal/o_yankova_bulgargaz_bg/Documents/Desktop/&#1048;&#1079;&#1087;&#1098;&#1083;&#1085;&#1077;&#1085;&#1080;&#1077;%20&#1085;&#1072;%20&#1041;&#1080;&#1079;&#1085;&#1077;&#1089;%20&#1087;&#1088;&#1086;&#1075;&#1088;&#1072;&#1084;&#1072;_2024/&#1054;&#1090;&#1095;&#1077;&#1090;%20&#1079;&#1072;%20&#1080;&#1079;&#1087;&#1098;&#1083;&#1085;&#1077;&#1085;&#1080;&#1077;%20&#1085;&#1072;%20&#1087;&#1083;&#1072;&#1085;&#1072;%20&#1079;&#1072;%20&#1086;&#1087;&#1090;&#1080;&#1084;&#1080;&#1079;&#1080;&#1088;&#1072;&#1085;&#1077;%20&#1085;&#1072;%20&#1088;&#1072;&#1079;&#1093;&#1086;&#1076;&#1080;%20&#1079;&#1072;%202024%20&#1075;/&#1055;&#1086;&#1082;&#1072;&#1079;&#1072;&#1090;&#1077;&#1083;&#1080;%20&#1080;%20&#1075;&#1088;&#1072;&#1092;&#1080;&#1082;&#1080;2024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bg-BG" sz="1400" b="0" i="0" baseline="0"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Планирани и извършени разходи</a:t>
            </a:r>
            <a:endParaRPr lang="en-US" sz="1400"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Pokazateli_final!$B$28</c:f>
              <c:strCache>
                <c:ptCount val="1"/>
                <c:pt idx="0">
                  <c:v>Планирани разходи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Pokazateli_final!$C$27:$F$27</c:f>
              <c:strCache>
                <c:ptCount val="4"/>
                <c:pt idx="0">
                  <c:v>I тримесечие 2024г.</c:v>
                </c:pt>
                <c:pt idx="1">
                  <c:v>II тримесечие 2024г.</c:v>
                </c:pt>
                <c:pt idx="2">
                  <c:v>III тримесечие 2024г.</c:v>
                </c:pt>
                <c:pt idx="3">
                  <c:v>IV тримесечие 2024г.</c:v>
                </c:pt>
              </c:strCache>
            </c:strRef>
          </c:cat>
          <c:val>
            <c:numRef>
              <c:f>Pokazateli_final!$C$28:$F$28</c:f>
              <c:numCache>
                <c:formatCode>_(* #\ ##0_);_(* \(#\ ##0\);_(* "-"_);_(@_)</c:formatCode>
                <c:ptCount val="4"/>
                <c:pt idx="0">
                  <c:v>618112</c:v>
                </c:pt>
                <c:pt idx="1">
                  <c:v>380722</c:v>
                </c:pt>
                <c:pt idx="2">
                  <c:v>281893</c:v>
                </c:pt>
                <c:pt idx="3">
                  <c:v>509104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F1-4149-8434-6546B73715B4}"/>
            </c:ext>
          </c:extLst>
        </c:ser>
        <c:ser>
          <c:idx val="1"/>
          <c:order val="1"/>
          <c:tx>
            <c:strRef>
              <c:f>Pokazateli_final!$B$29</c:f>
              <c:strCache>
                <c:ptCount val="1"/>
                <c:pt idx="0">
                  <c:v>Извършени разходи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Pokazateli_final!$C$27:$F$27</c:f>
              <c:strCache>
                <c:ptCount val="4"/>
                <c:pt idx="0">
                  <c:v>I тримесечие 2024г.</c:v>
                </c:pt>
                <c:pt idx="1">
                  <c:v>II тримесечие 2024г.</c:v>
                </c:pt>
                <c:pt idx="2">
                  <c:v>III тримесечие 2024г.</c:v>
                </c:pt>
                <c:pt idx="3">
                  <c:v>IV тримесечие 2024г.</c:v>
                </c:pt>
              </c:strCache>
            </c:strRef>
          </c:cat>
          <c:val>
            <c:numRef>
              <c:f>Pokazateli_final!$C$29:$F$29</c:f>
              <c:numCache>
                <c:formatCode>_(* #\ ##0_);_(* \(#\ ##0\);_(* "-"_);_(@_)</c:formatCode>
                <c:ptCount val="4"/>
                <c:pt idx="0">
                  <c:v>545864</c:v>
                </c:pt>
                <c:pt idx="1">
                  <c:v>386369</c:v>
                </c:pt>
                <c:pt idx="2">
                  <c:v>278844</c:v>
                </c:pt>
                <c:pt idx="3">
                  <c:v>599229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F1-4149-8434-6546B73715B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31857600"/>
        <c:axId val="641946560"/>
      </c:barChart>
      <c:catAx>
        <c:axId val="531857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41946560"/>
        <c:crosses val="autoZero"/>
        <c:auto val="1"/>
        <c:lblAlgn val="ctr"/>
        <c:lblOffset val="100"/>
        <c:noMultiLvlLbl val="0"/>
      </c:catAx>
      <c:valAx>
        <c:axId val="641946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\ ##0_);_(* \(#\ ##0\);_(* &quot;-&quot;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31857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bg-BG" b="1">
                <a:latin typeface="Times New Roman" panose="02020603050405020304" pitchFamily="18" charset="0"/>
                <a:cs typeface="Times New Roman" panose="02020603050405020304" pitchFamily="18" charset="0"/>
              </a:rPr>
              <a:t>Ефективност</a:t>
            </a:r>
            <a:r>
              <a:rPr lang="bg-BG" b="1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на разходите за 2024 г.</a:t>
            </a:r>
            <a:endParaRPr lang="en-US" b="1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32266242520578597"/>
          <c:y val="4.29599101316811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8.0387943238477214E-2"/>
          <c:y val="0.15231240864868786"/>
          <c:w val="0.87602678492269903"/>
          <c:h val="0.74116669521435208"/>
        </c:manualLayout>
      </c:layout>
      <c:lineChart>
        <c:grouping val="standard"/>
        <c:varyColors val="0"/>
        <c:ser>
          <c:idx val="1"/>
          <c:order val="0"/>
          <c:tx>
            <c:strRef>
              <c:f>Pokazateli_final!$B$7</c:f>
              <c:strCache>
                <c:ptCount val="1"/>
                <c:pt idx="0">
                  <c:v>Ефективност на разходите (Отчет)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0883928760387968E-2"/>
                  <c:y val="5.4002482879845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23D-4E0C-BF14-7BB6DEEA4A30}"/>
                </c:ext>
              </c:extLst>
            </c:dLbl>
            <c:dLbl>
              <c:idx val="1"/>
              <c:layout>
                <c:manualLayout>
                  <c:x val="-5.9044458693231217E-2"/>
                  <c:y val="-6.3160908388376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3D-4E0C-BF14-7BB6DEEA4A30}"/>
                </c:ext>
              </c:extLst>
            </c:dLbl>
            <c:dLbl>
              <c:idx val="2"/>
              <c:layout>
                <c:manualLayout>
                  <c:x val="-4.2699981753672352E-2"/>
                  <c:y val="-6.316090838837604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23D-4E0C-BF14-7BB6DEEA4A30}"/>
                </c:ext>
              </c:extLst>
            </c:dLbl>
            <c:dLbl>
              <c:idx val="3"/>
              <c:layout>
                <c:manualLayout>
                  <c:x val="-3.3619716787250682E-2"/>
                  <c:y val="6.1813375631060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23D-4E0C-BF14-7BB6DEEA4A30}"/>
                </c:ext>
              </c:extLst>
            </c:dLbl>
            <c:dLbl>
              <c:idx val="4"/>
              <c:layout>
                <c:manualLayout>
                  <c:x val="-4.0883928760387968E-2"/>
                  <c:y val="5.79079292554527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23D-4E0C-BF14-7BB6DEEA4A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Pokazateli_final!$C$2:$G$2</c:f>
              <c:strCache>
                <c:ptCount val="5"/>
                <c:pt idx="0">
                  <c:v>I тримесечие 2024 г.</c:v>
                </c:pt>
                <c:pt idx="1">
                  <c:v>II тримесечие 2024 г.</c:v>
                </c:pt>
                <c:pt idx="2">
                  <c:v>III тримесечие 2024 г.</c:v>
                </c:pt>
                <c:pt idx="3">
                  <c:v>IV тримесечие 2024 г.</c:v>
                </c:pt>
                <c:pt idx="4">
                  <c:v>2024 г.            </c:v>
                </c:pt>
              </c:strCache>
            </c:strRef>
          </c:cat>
          <c:val>
            <c:numRef>
              <c:f>Pokazateli_final!$C$7:$G$7</c:f>
              <c:numCache>
                <c:formatCode>#\ ##0.0000</c:formatCode>
                <c:ptCount val="5"/>
                <c:pt idx="0">
                  <c:v>0.81516275116146142</c:v>
                </c:pt>
                <c:pt idx="1">
                  <c:v>0.60646428673107833</c:v>
                </c:pt>
                <c:pt idx="2">
                  <c:v>1.254715898495216</c:v>
                </c:pt>
                <c:pt idx="3">
                  <c:v>0.78322310836091047</c:v>
                </c:pt>
                <c:pt idx="4">
                  <c:v>0.82775342953069808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523D-4E0C-BF14-7BB6DEEA4A30}"/>
            </c:ext>
          </c:extLst>
        </c:ser>
        <c:ser>
          <c:idx val="0"/>
          <c:order val="1"/>
          <c:tx>
            <c:strRef>
              <c:f>Pokazateli_final!$B$8</c:f>
              <c:strCache>
                <c:ptCount val="1"/>
                <c:pt idx="0">
                  <c:v>Ефективност на разходите (План)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9067875767103646E-2"/>
                  <c:y val="-5.53500156371612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23D-4E0C-BF14-7BB6DEEA4A30}"/>
                </c:ext>
              </c:extLst>
            </c:dLbl>
            <c:dLbl>
              <c:idx val="1"/>
              <c:layout>
                <c:manualLayout>
                  <c:x val="-6.2676564679799859E-2"/>
                  <c:y val="-7.09718011395908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23D-4E0C-BF14-7BB6DEEA4A30}"/>
                </c:ext>
              </c:extLst>
            </c:dLbl>
            <c:dLbl>
              <c:idx val="2"/>
              <c:layout>
                <c:manualLayout>
                  <c:x val="-4.2699981753672352E-2"/>
                  <c:y val="-7.09718011395907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23D-4E0C-BF14-7BB6DEEA4A30}"/>
                </c:ext>
              </c:extLst>
            </c:dLbl>
            <c:dLbl>
              <c:idx val="3"/>
              <c:layout>
                <c:manualLayout>
                  <c:x val="-2.9987610800682036E-2"/>
                  <c:y val="-6.70663547639834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23D-4E0C-BF14-7BB6DEEA4A30}"/>
                </c:ext>
              </c:extLst>
            </c:dLbl>
            <c:dLbl>
              <c:idx val="4"/>
              <c:layout>
                <c:manualLayout>
                  <c:x val="-4.6332087740241064E-2"/>
                  <c:y val="-5.9255462012768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23D-4E0C-BF14-7BB6DEEA4A3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Pokazateli_final!$C$2:$G$2</c:f>
              <c:strCache>
                <c:ptCount val="5"/>
                <c:pt idx="0">
                  <c:v>I тримесечие 2024 г.</c:v>
                </c:pt>
                <c:pt idx="1">
                  <c:v>II тримесечие 2024 г.</c:v>
                </c:pt>
                <c:pt idx="2">
                  <c:v>III тримесечие 2024 г.</c:v>
                </c:pt>
                <c:pt idx="3">
                  <c:v>IV тримесечие 2024 г.</c:v>
                </c:pt>
                <c:pt idx="4">
                  <c:v>2024 г.            </c:v>
                </c:pt>
              </c:strCache>
            </c:strRef>
          </c:cat>
          <c:val>
            <c:numRef>
              <c:f>Pokazateli_final!$C$8:$G$8</c:f>
              <c:numCache>
                <c:formatCode>#\ ##0.0000</c:formatCode>
                <c:ptCount val="5"/>
                <c:pt idx="0">
                  <c:v>0.9204901377096707</c:v>
                </c:pt>
                <c:pt idx="1">
                  <c:v>0.86834225497869832</c:v>
                </c:pt>
                <c:pt idx="2">
                  <c:v>1.7422497188649595</c:v>
                </c:pt>
                <c:pt idx="3">
                  <c:v>0.91403524623652532</c:v>
                </c:pt>
                <c:pt idx="4">
                  <c:v>1.0369861735549335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523D-4E0C-BF14-7BB6DEEA4A30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31858776"/>
        <c:axId val="531859168"/>
      </c:lineChart>
      <c:catAx>
        <c:axId val="531858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31859168"/>
        <c:crosses val="autoZero"/>
        <c:auto val="1"/>
        <c:lblAlgn val="ctr"/>
        <c:lblOffset val="100"/>
        <c:noMultiLvlLbl val="0"/>
      </c:catAx>
      <c:valAx>
        <c:axId val="5318591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.00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31858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8571904544822763"/>
          <c:y val="0.7757262054529257"/>
          <c:w val="0.50906696631064396"/>
          <c:h val="0.105052817318286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384E181D741C47A8E380B2D57F3DF3" ma:contentTypeVersion="4" ma:contentTypeDescription="Създаване на нов документ" ma:contentTypeScope="" ma:versionID="3a40a559894113280cabecbd811f5f7b">
  <xsd:schema xmlns:xsd="http://www.w3.org/2001/XMLSchema" xmlns:xs="http://www.w3.org/2001/XMLSchema" xmlns:p="http://schemas.microsoft.com/office/2006/metadata/properties" xmlns:ns2="d58d7dcd-905b-4e1c-8a19-0cacdb5baac1" targetNamespace="http://schemas.microsoft.com/office/2006/metadata/properties" ma:root="true" ma:fieldsID="397afd000a5a7fbd8279257df240d444" ns2:_="">
    <xsd:import namespace="d58d7dcd-905b-4e1c-8a19-0cacdb5baa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d7dcd-905b-4e1c-8a19-0cacdb5baa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030A0D-CABE-4DE9-9CEB-F1998B6E4D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8402FB-7978-4178-8400-4BC788B8A6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4A1911-4B11-447F-B526-D1A1A2972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d7dcd-905b-4e1c-8a19-0cacdb5baa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B33C77-E6DF-489C-B8F2-47257D7DC9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734</TotalTime>
  <Pages>5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Yankova</dc:creator>
  <cp:keywords/>
  <dc:description/>
  <cp:lastModifiedBy>Oksana Yankova</cp:lastModifiedBy>
  <cp:revision>329</cp:revision>
  <cp:lastPrinted>2023-05-18T13:30:00Z</cp:lastPrinted>
  <dcterms:created xsi:type="dcterms:W3CDTF">2022-04-28T18:43:00Z</dcterms:created>
  <dcterms:modified xsi:type="dcterms:W3CDTF">2025-05-29T07:33:00Z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0x01010026384E181D741C47A8E380B2D57F3DF3</vt:lpwstr>
  </property>
  <property fmtid="{D5CDD505-2E9C-101B-9397-08002B2CF9AE}" pid="3" name="Order">
    <vt:r8>1193600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