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E10" w:rsidRDefault="00E65E10" w:rsidP="00E65E10">
      <w:pPr>
        <w:rPr>
          <w:rFonts w:ascii="Times New Roman" w:hAnsi="Times New Roman" w:cs="Times New Roman"/>
          <w:sz w:val="24"/>
          <w:szCs w:val="24"/>
          <w:lang w:val="bg"/>
        </w:rPr>
      </w:pPr>
      <w:bookmarkStart w:id="0" w:name="_GoBack"/>
      <w:bookmarkEnd w:id="0"/>
    </w:p>
    <w:p w:rsidR="00E65E10" w:rsidRDefault="00E65E10" w:rsidP="00E65E10">
      <w:pPr>
        <w:rPr>
          <w:rFonts w:ascii="Times New Roman" w:hAnsi="Times New Roman" w:cs="Times New Roman"/>
          <w:sz w:val="24"/>
          <w:szCs w:val="24"/>
          <w:lang w:val="bg"/>
        </w:rPr>
      </w:pPr>
    </w:p>
    <w:p w:rsidR="00E65E10" w:rsidRDefault="00E65E10" w:rsidP="00E65E10">
      <w:pPr>
        <w:rPr>
          <w:rFonts w:ascii="Times New Roman" w:hAnsi="Times New Roman" w:cs="Times New Roman"/>
          <w:sz w:val="24"/>
          <w:szCs w:val="24"/>
          <w:lang w:val="bg"/>
        </w:rPr>
      </w:pPr>
    </w:p>
    <w:p w:rsidR="00E65E10" w:rsidRDefault="00E65E10" w:rsidP="00E65E10">
      <w:pPr>
        <w:rPr>
          <w:rFonts w:ascii="Times New Roman" w:hAnsi="Times New Roman" w:cs="Times New Roman"/>
          <w:sz w:val="24"/>
          <w:szCs w:val="24"/>
          <w:lang w:val="bg"/>
        </w:rPr>
      </w:pPr>
    </w:p>
    <w:p w:rsidR="00E65E10" w:rsidRPr="00E65E10" w:rsidRDefault="00E65E10" w:rsidP="00E65E10">
      <w:pPr>
        <w:rPr>
          <w:rFonts w:ascii="Times New Roman" w:hAnsi="Times New Roman" w:cs="Times New Roman"/>
          <w:color w:val="009999"/>
          <w:sz w:val="52"/>
          <w:szCs w:val="52"/>
          <w14:textOutline w14:w="9525" w14:cap="rnd" w14:cmpd="sng" w14:algn="ctr">
            <w14:solidFill>
              <w14:schemeClr w14:val="accent6">
                <w14:lumMod w14:val="75000"/>
              </w14:schemeClr>
            </w14:solidFill>
            <w14:prstDash w14:val="solid"/>
            <w14:bevel/>
          </w14:textOutline>
        </w:rPr>
      </w:pPr>
      <w:r w:rsidRPr="00E65E10">
        <w:rPr>
          <w:rFonts w:ascii="Times New Roman" w:hAnsi="Times New Roman" w:cs="Times New Roman"/>
          <w:color w:val="009999"/>
          <w:sz w:val="52"/>
          <w:szCs w:val="52"/>
          <w:lang w:val="bg"/>
          <w14:textOutline w14:w="9525" w14:cap="rnd" w14:cmpd="sng" w14:algn="ctr">
            <w14:solidFill>
              <w14:schemeClr w14:val="accent6">
                <w14:lumMod w14:val="75000"/>
              </w14:schemeClr>
            </w14:solidFill>
            <w14:prstDash w14:val="solid"/>
            <w14:bevel/>
          </w14:textOutline>
        </w:rPr>
        <w:t xml:space="preserve">РАЗВИТИЕ НА </w:t>
      </w:r>
      <w:r w:rsidR="008E6990">
        <w:rPr>
          <w:rFonts w:ascii="Times New Roman" w:hAnsi="Times New Roman" w:cs="Times New Roman"/>
          <w:color w:val="009999"/>
          <w:sz w:val="52"/>
          <w:szCs w:val="52"/>
          <w:lang w:val="bg"/>
          <w14:textOutline w14:w="9525" w14:cap="rnd" w14:cmpd="sng" w14:algn="ctr">
            <w14:solidFill>
              <w14:schemeClr w14:val="accent6">
                <w14:lumMod w14:val="75000"/>
              </w14:schemeClr>
            </w14:solidFill>
            <w14:prstDash w14:val="solid"/>
            <w14:bevel/>
          </w14:textOutline>
        </w:rPr>
        <w:t>ЕНЕРГИЙНИТЕ ОБЩНОСТИ В БЪЛГАРИЯ:</w:t>
      </w:r>
      <w:r w:rsidRPr="00E65E10">
        <w:rPr>
          <w:rFonts w:ascii="Times New Roman" w:hAnsi="Times New Roman" w:cs="Times New Roman"/>
          <w:color w:val="009999"/>
          <w:sz w:val="52"/>
          <w:szCs w:val="52"/>
          <w:lang w:val="bg"/>
          <w14:textOutline w14:w="9525" w14:cap="rnd" w14:cmpd="sng" w14:algn="ctr">
            <w14:solidFill>
              <w14:schemeClr w14:val="accent6">
                <w14:lumMod w14:val="75000"/>
              </w14:schemeClr>
            </w14:solidFill>
            <w14:prstDash w14:val="solid"/>
            <w14:bevel/>
          </w14:textOutline>
        </w:rPr>
        <w:t xml:space="preserve"> РЕГУЛАТОРНА РАМКА,</w:t>
      </w:r>
      <w:r w:rsidRPr="00E65E10">
        <w:rPr>
          <w:rFonts w:ascii="inherit" w:eastAsia="Times New Roman" w:hAnsi="inherit" w:cs="Courier New"/>
          <w:color w:val="009999"/>
          <w:sz w:val="52"/>
          <w:szCs w:val="52"/>
          <w:lang w:val="bg-BG"/>
          <w14:textOutline w14:w="9525" w14:cap="rnd" w14:cmpd="sng" w14:algn="ctr">
            <w14:solidFill>
              <w14:schemeClr w14:val="accent6">
                <w14:lumMod w14:val="75000"/>
              </w14:schemeClr>
            </w14:solidFill>
            <w14:prstDash w14:val="solid"/>
            <w14:bevel/>
          </w14:textOutline>
        </w:rPr>
        <w:t xml:space="preserve"> </w:t>
      </w:r>
      <w:r w:rsidRPr="00E65E10">
        <w:rPr>
          <w:rFonts w:ascii="Times New Roman" w:hAnsi="Times New Roman" w:cs="Times New Roman"/>
          <w:color w:val="009999"/>
          <w:sz w:val="52"/>
          <w:szCs w:val="52"/>
          <w:lang w:val="bg-BG"/>
          <w14:textOutline w14:w="9525" w14:cap="rnd" w14:cmpd="sng" w14:algn="ctr">
            <w14:solidFill>
              <w14:schemeClr w14:val="accent6">
                <w14:lumMod w14:val="75000"/>
              </w14:schemeClr>
            </w14:solidFill>
            <w14:prstDash w14:val="solid"/>
            <w14:bevel/>
          </w14:textOutline>
        </w:rPr>
        <w:t>ВИРТУАЛНО НЕТО ИЗМЕРВАНЕ И ИЗГРАЖДАНЕ НА КАПАЦИТЕТ ЗА УСТОЙЧИВО БЪДЕЩЕ.</w:t>
      </w: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E65E10" w:rsidRDefault="00E65E10" w:rsidP="00E65E10">
      <w:pPr>
        <w:rPr>
          <w:rFonts w:ascii="Times New Roman" w:hAnsi="Times New Roman" w:cs="Times New Roman"/>
          <w:sz w:val="24"/>
          <w:szCs w:val="24"/>
          <w:lang w:val="bg-BG"/>
        </w:rPr>
      </w:pPr>
    </w:p>
    <w:p w:rsidR="008E6990" w:rsidRDefault="008E6990" w:rsidP="00E65E10">
      <w:pPr>
        <w:rPr>
          <w:rFonts w:ascii="Times New Roman" w:hAnsi="Times New Roman" w:cs="Times New Roman"/>
          <w:sz w:val="24"/>
          <w:szCs w:val="24"/>
          <w:lang w:val="bg-BG"/>
        </w:rPr>
      </w:pPr>
    </w:p>
    <w:p w:rsidR="008E6990" w:rsidRDefault="008E6990" w:rsidP="00E65E10">
      <w:pPr>
        <w:rPr>
          <w:rFonts w:ascii="Times New Roman" w:hAnsi="Times New Roman" w:cs="Times New Roman"/>
          <w:sz w:val="24"/>
          <w:szCs w:val="24"/>
          <w:lang w:val="bg-BG"/>
        </w:rPr>
      </w:pPr>
    </w:p>
    <w:p w:rsidR="00E65E10" w:rsidRPr="00E65E10" w:rsidRDefault="00E65E10" w:rsidP="00E65E10">
      <w:pPr>
        <w:rPr>
          <w:rFonts w:ascii="Times New Roman" w:hAnsi="Times New Roman" w:cs="Times New Roman"/>
          <w:sz w:val="24"/>
          <w:szCs w:val="24"/>
        </w:rPr>
      </w:pPr>
      <w:r>
        <w:rPr>
          <w:rFonts w:ascii="Times New Roman" w:hAnsi="Times New Roman" w:cs="Times New Roman"/>
          <w:sz w:val="24"/>
          <w:szCs w:val="24"/>
          <w:lang w:val="bg-BG"/>
        </w:rPr>
        <w:t>П</w:t>
      </w:r>
      <w:r w:rsidRPr="00E65E10">
        <w:rPr>
          <w:rFonts w:ascii="Times New Roman" w:hAnsi="Times New Roman" w:cs="Times New Roman"/>
          <w:sz w:val="24"/>
          <w:szCs w:val="24"/>
          <w:lang w:val="bg-BG"/>
        </w:rPr>
        <w:t xml:space="preserve">одкрепено от норвежкия грант 2014-2021, в рамките на програмата за развитие на бизнеса, иновации и </w:t>
      </w:r>
      <w:r>
        <w:rPr>
          <w:rFonts w:ascii="Times New Roman" w:hAnsi="Times New Roman" w:cs="Times New Roman"/>
          <w:sz w:val="24"/>
          <w:szCs w:val="24"/>
          <w:lang w:val="bg-BG"/>
        </w:rPr>
        <w:t>МСП в Б</w:t>
      </w:r>
      <w:r w:rsidRPr="00E65E10">
        <w:rPr>
          <w:rFonts w:ascii="Times New Roman" w:hAnsi="Times New Roman" w:cs="Times New Roman"/>
          <w:sz w:val="24"/>
          <w:szCs w:val="24"/>
          <w:lang w:val="bg-BG"/>
        </w:rPr>
        <w:t>ългария</w:t>
      </w:r>
      <w:r>
        <w:rPr>
          <w:rFonts w:ascii="Times New Roman" w:hAnsi="Times New Roman" w:cs="Times New Roman"/>
          <w:sz w:val="24"/>
          <w:szCs w:val="24"/>
          <w:lang w:val="bg-BG"/>
        </w:rPr>
        <w:t>.</w:t>
      </w:r>
    </w:p>
    <w:p w:rsidR="00E65E10" w:rsidRDefault="00E65E10" w:rsidP="007906A8">
      <w:pPr>
        <w:rPr>
          <w:rFonts w:ascii="Times New Roman" w:hAnsi="Times New Roman" w:cs="Times New Roman"/>
          <w:sz w:val="24"/>
          <w:szCs w:val="24"/>
          <w:lang w:val="bg"/>
        </w:rPr>
      </w:pPr>
    </w:p>
    <w:p w:rsidR="00E65E10" w:rsidRDefault="00E65E10" w:rsidP="007906A8">
      <w:pPr>
        <w:rPr>
          <w:rFonts w:ascii="Times New Roman" w:hAnsi="Times New Roman" w:cs="Times New Roman"/>
          <w:sz w:val="24"/>
          <w:szCs w:val="24"/>
          <w:lang w:val="bg"/>
        </w:rPr>
      </w:pPr>
    </w:p>
    <w:p w:rsidR="00E65E10" w:rsidRPr="001A38FE" w:rsidRDefault="00E65E10" w:rsidP="007906A8">
      <w:pPr>
        <w:rPr>
          <w:rFonts w:ascii="Times New Roman" w:hAnsi="Times New Roman" w:cs="Times New Roman"/>
          <w:sz w:val="24"/>
          <w:szCs w:val="24"/>
        </w:rPr>
      </w:pPr>
    </w:p>
    <w:p w:rsidR="00E65E10" w:rsidRDefault="00E65E10" w:rsidP="007906A8">
      <w:pPr>
        <w:rPr>
          <w:rFonts w:ascii="Times New Roman" w:hAnsi="Times New Roman" w:cs="Times New Roman"/>
          <w:sz w:val="24"/>
          <w:szCs w:val="24"/>
          <w:lang w:val="bg"/>
        </w:rPr>
      </w:pPr>
    </w:p>
    <w:p w:rsidR="00E65E10" w:rsidRDefault="00E65E10" w:rsidP="007906A8">
      <w:pPr>
        <w:rPr>
          <w:rFonts w:ascii="Times New Roman" w:hAnsi="Times New Roman" w:cs="Times New Roman"/>
          <w:sz w:val="24"/>
          <w:szCs w:val="24"/>
          <w:lang w:val="bg"/>
        </w:rPr>
      </w:pPr>
    </w:p>
    <w:p w:rsidR="007906A8" w:rsidRPr="007906A8" w:rsidRDefault="007906A8" w:rsidP="007906A8">
      <w:pPr>
        <w:rPr>
          <w:rFonts w:ascii="Times New Roman" w:hAnsi="Times New Roman" w:cs="Times New Roman"/>
          <w:sz w:val="24"/>
          <w:szCs w:val="24"/>
          <w:lang w:val="bg"/>
        </w:rPr>
      </w:pPr>
      <w:r w:rsidRPr="007906A8">
        <w:rPr>
          <w:rFonts w:ascii="Times New Roman" w:hAnsi="Times New Roman" w:cs="Times New Roman"/>
          <w:sz w:val="24"/>
          <w:szCs w:val="24"/>
          <w:lang w:val="bg"/>
        </w:rPr>
        <w:t>Основни автори:</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Thomas Mikkelsen, Smart Innovation Norway</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Мануела Фрете, „Интелигентни иновации — Норвегия“</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Илиана Илиева, Институт за енергийни технологии</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Heidi Nygård, Норвежки университет за науки за живота</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Генадий Кондарев, Център за изследване на демокрацията</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Надежда Ганчева, Център за изследване на демокрацията</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Павлин Стоянов, Център за изследване на демокрацията</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Еленко Божков, Камара на енергийните общности България</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Кристина Табакова, Камара на енергийните общности България</w:t>
      </w:r>
    </w:p>
    <w:p w:rsidR="007906A8" w:rsidRPr="007906A8" w:rsidRDefault="007906A8" w:rsidP="007906A8">
      <w:pPr>
        <w:numPr>
          <w:ilvl w:val="0"/>
          <w:numId w:val="1"/>
        </w:numPr>
        <w:rPr>
          <w:rFonts w:ascii="Times New Roman" w:hAnsi="Times New Roman" w:cs="Times New Roman"/>
          <w:sz w:val="24"/>
          <w:szCs w:val="24"/>
          <w:lang w:val="bg"/>
        </w:rPr>
      </w:pPr>
      <w:r w:rsidRPr="007906A8">
        <w:rPr>
          <w:rFonts w:ascii="Times New Roman" w:hAnsi="Times New Roman" w:cs="Times New Roman"/>
          <w:sz w:val="24"/>
          <w:szCs w:val="24"/>
          <w:lang w:val="bg"/>
        </w:rPr>
        <w:t>Антон Иванов, Камара на енергийните общности България</w:t>
      </w:r>
    </w:p>
    <w:p w:rsidR="007906A8" w:rsidRPr="007906A8" w:rsidRDefault="007906A8" w:rsidP="007906A8">
      <w:pPr>
        <w:jc w:val="center"/>
        <w:rPr>
          <w:lang w:val="bg"/>
        </w:rPr>
      </w:pPr>
      <w:r w:rsidRPr="007906A8">
        <w:rPr>
          <w:noProof/>
          <w:color w:val="009999"/>
          <w:lang w:val="bg-BG" w:eastAsia="bg-BG"/>
        </w:rPr>
        <w:drawing>
          <wp:inline distT="0" distB="0" distL="0" distR="0" wp14:anchorId="59B8634A" wp14:editId="11C5F523">
            <wp:extent cx="2810510" cy="2590800"/>
            <wp:effectExtent l="0" t="0" r="0" b="0"/>
            <wp:docPr id="16" name="Пикутър 16"/>
            <wp:cNvGraphicFramePr/>
            <a:graphic xmlns:a="http://schemas.openxmlformats.org/drawingml/2006/main">
              <a:graphicData uri="http://schemas.openxmlformats.org/drawingml/2006/picture">
                <pic:pic xmlns:pic="http://schemas.openxmlformats.org/drawingml/2006/picture">
                  <pic:nvPicPr>
                    <pic:cNvPr id="16" name="Снимка 16"/>
                    <pic:cNvPicPr/>
                  </pic:nvPicPr>
                  <pic:blipFill>
                    <a:blip r:embed="rId8"/>
                    <a:stretch/>
                  </pic:blipFill>
                  <pic:spPr>
                    <a:xfrm>
                      <a:off x="0" y="0"/>
                      <a:ext cx="2810510" cy="2590800"/>
                    </a:xfrm>
                    <a:prstGeom prst="rect">
                      <a:avLst/>
                    </a:prstGeom>
                  </pic:spPr>
                </pic:pic>
              </a:graphicData>
            </a:graphic>
          </wp:inline>
        </w:drawing>
      </w:r>
    </w:p>
    <w:p w:rsidR="007906A8" w:rsidRPr="007906A8" w:rsidRDefault="007906A8" w:rsidP="007906A8">
      <w:pPr>
        <w:rPr>
          <w:lang w:val="bg"/>
        </w:rPr>
      </w:pPr>
    </w:p>
    <w:p w:rsidR="007906A8" w:rsidRPr="007906A8" w:rsidRDefault="007906A8" w:rsidP="007906A8">
      <w:pPr>
        <w:jc w:val="both"/>
        <w:rPr>
          <w:rFonts w:ascii="Times New Roman" w:hAnsi="Times New Roman" w:cs="Times New Roman"/>
          <w:lang w:val="bg"/>
        </w:rPr>
      </w:pPr>
      <w:r w:rsidRPr="007906A8">
        <w:rPr>
          <w:rFonts w:ascii="Times New Roman" w:hAnsi="Times New Roman" w:cs="Times New Roman"/>
          <w:b/>
          <w:bCs/>
          <w:lang w:val="bg"/>
        </w:rPr>
        <w:t>Уведомление за авторско право и разпространение:</w:t>
      </w:r>
    </w:p>
    <w:p w:rsidR="007906A8" w:rsidRPr="007906A8" w:rsidRDefault="007906A8" w:rsidP="007906A8">
      <w:pPr>
        <w:jc w:val="both"/>
        <w:rPr>
          <w:rFonts w:ascii="Times New Roman" w:hAnsi="Times New Roman" w:cs="Times New Roman"/>
          <w:lang w:val="bg"/>
        </w:rPr>
      </w:pPr>
      <w:r w:rsidRPr="007906A8">
        <w:rPr>
          <w:rFonts w:ascii="Times New Roman" w:hAnsi="Times New Roman" w:cs="Times New Roman"/>
          <w:lang w:val="bg"/>
        </w:rPr>
        <w:t>© 2025 Smart Innovation Norway, Камара на енергийните общности България, Център за изследване на демокрацията. Този доклад се публикува като документ със свободен достъп за обществено ползване. Тя може да бъде възпроизвеждана, разпространявана и предавана на всякакъв носител, при условие че източникът е правилно цитиран и не са направени промени в оригиналното съдържание. Търговската употреба е забранена без предварително писмено разрешение.</w:t>
      </w:r>
    </w:p>
    <w:p w:rsidR="007906A8" w:rsidRDefault="007906A8" w:rsidP="007906A8">
      <w:pPr>
        <w:rPr>
          <w:lang w:val="bg"/>
        </w:rPr>
      </w:pPr>
    </w:p>
    <w:p w:rsidR="003819B1" w:rsidRDefault="003819B1" w:rsidP="007906A8">
      <w:pPr>
        <w:rPr>
          <w:rFonts w:ascii="Times New Roman" w:hAnsi="Times New Roman" w:cs="Times New Roman"/>
          <w:b/>
          <w:color w:val="009999"/>
          <w:sz w:val="24"/>
          <w:szCs w:val="24"/>
          <w:lang w:val="bg"/>
        </w:rPr>
      </w:pPr>
    </w:p>
    <w:p w:rsidR="003819B1" w:rsidRDefault="003819B1" w:rsidP="007906A8">
      <w:pPr>
        <w:rPr>
          <w:rFonts w:ascii="Times New Roman" w:hAnsi="Times New Roman" w:cs="Times New Roman"/>
          <w:b/>
          <w:color w:val="009999"/>
          <w:sz w:val="24"/>
          <w:szCs w:val="24"/>
          <w:lang w:val="bg"/>
        </w:rPr>
      </w:pPr>
    </w:p>
    <w:p w:rsidR="003819B1" w:rsidRDefault="003819B1" w:rsidP="007906A8">
      <w:pPr>
        <w:rPr>
          <w:rFonts w:ascii="Times New Roman" w:hAnsi="Times New Roman" w:cs="Times New Roman"/>
          <w:b/>
          <w:color w:val="009999"/>
          <w:sz w:val="24"/>
          <w:szCs w:val="24"/>
          <w:lang w:val="bg"/>
        </w:rPr>
      </w:pPr>
    </w:p>
    <w:p w:rsidR="007906A8" w:rsidRPr="007906A8" w:rsidRDefault="007906A8" w:rsidP="007906A8">
      <w:pPr>
        <w:rPr>
          <w:rFonts w:ascii="Times New Roman" w:hAnsi="Times New Roman" w:cs="Times New Roman"/>
          <w:b/>
          <w:color w:val="009999"/>
          <w:sz w:val="24"/>
          <w:szCs w:val="24"/>
          <w:lang w:val="bg"/>
        </w:rPr>
      </w:pPr>
      <w:r w:rsidRPr="007906A8">
        <w:rPr>
          <w:rFonts w:ascii="Times New Roman" w:hAnsi="Times New Roman" w:cs="Times New Roman"/>
          <w:b/>
          <w:color w:val="009999"/>
          <w:sz w:val="24"/>
          <w:szCs w:val="24"/>
          <w:lang w:val="bg"/>
        </w:rPr>
        <w:t>РЕЗЮМЕ</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Настоящият доклад има за цел да насърчи развитието на енергийните общности в България, като очертае стратегии, ползи и рамки в подкрепа на тяхното създаване и растеж. Тя е насочена към регулаторните органи, заинтересованите страни в енергийния сектор, местните общности, инвеститорите и екологичните организации.</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Появява се концепцията за енергийни общности с първоначални примери в промишлени клъстери, селскостопански кооперации и инициативи, ръководени от общините. Въпреки това регулаторните пропуски и пазарните условия ограничават растежа на тези общности. Анализът на регулаторната рамка и пропуските в политиката в България показва, че макар Законът за енергетиката и Законът за възобновяемите енергийни източници да признават енергийните общности, те не разполагат с подробни оперативни процедури. Основните пропуски включват липсата на специален процес на регистрация, неясен достъп до мрежата и правила за измерване, както и липсата на установени протоколи за обмен на данни. Няколко институции играят решаваща роля в оформянето на регулаторната среда за енергийните общности в България, включително Народното събрание, Комисията за енергийно и водно регулиране (КЕВР), Агенцията за устойчиво енергийно развитие (АУЕР), Електроенергийния системен оператор (ЕСО) и Операторите на разпределителни системи (ОРС). Търговците на енергия и доставчиците на агрегирани услуги също помагат на произвеждащите потребители и общностните групи да се ориентират в участието на пазара, балансиращите услуги и административните процеси.</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Съгласно българското законодателство общностите за възобновяема енергия</w:t>
      </w:r>
      <w:r w:rsidRPr="007906A8">
        <w:rPr>
          <w:rFonts w:ascii="Times New Roman" w:hAnsi="Times New Roman" w:cs="Times New Roman"/>
          <w:sz w:val="24"/>
          <w:szCs w:val="24"/>
        </w:rPr>
        <w:t xml:space="preserve"> (RECs)</w:t>
      </w:r>
      <w:r w:rsidRPr="007906A8">
        <w:rPr>
          <w:rFonts w:ascii="Times New Roman" w:hAnsi="Times New Roman" w:cs="Times New Roman"/>
          <w:sz w:val="24"/>
          <w:szCs w:val="24"/>
          <w:lang w:val="bg"/>
        </w:rPr>
        <w:t xml:space="preserve"> се регулират от Закона за възобновяемите енергийни източници и са ограничени до възобновяеми енергийни източници с географски ограничения. Гражданските енергийни общности</w:t>
      </w:r>
      <w:r w:rsidRPr="007906A8">
        <w:rPr>
          <w:rFonts w:ascii="Times New Roman" w:hAnsi="Times New Roman" w:cs="Times New Roman"/>
          <w:sz w:val="24"/>
          <w:szCs w:val="24"/>
        </w:rPr>
        <w:t xml:space="preserve"> (CECs)</w:t>
      </w:r>
      <w:r w:rsidRPr="007906A8">
        <w:rPr>
          <w:rFonts w:ascii="Times New Roman" w:hAnsi="Times New Roman" w:cs="Times New Roman"/>
          <w:sz w:val="24"/>
          <w:szCs w:val="24"/>
          <w:lang w:val="bg"/>
        </w:rPr>
        <w:t>, регулирани от Закона за енергетиката, могат да работят в цялата страна, да участват в различни дейности, свързани с енергетиката, и да имат по-широка допустимост за членство. Енергийните общности трябва да се регистрират в съществуващи корпоративни структури или структури с нестопанска цел, изправени пред предизвикателства като строги изисквания за сдруженията на етажната собственост и липса на специфични правила за управление. Те могат да произвеждат, потребяват, съхраняват и продават енергия, но са изправени пред регулаторни пропуски в споделянето на енергия, липса на виртуално нетно измерване (VNM) и високи такси за мрежата. Създаването на административни услуги „на едно гише“ и централен регистър за енергийните общности е от решаващо значение и АУЕР би могла да играе бъдеща роля при регистрирането и предоставянето на подкрепа на енергийните общности.</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 xml:space="preserve">В рамките на доклада бяха картографирани специфичните особености на норвежките енергийни системи и разпоредбите на страната във връзка с енергийните общности за целите на сравнителния анализ и позоваването на най-добрите практики. Норвегия предлага финансова подкрепа за жилищни слънчеви инсталации и освобождава произвеждащите потребители от определени мрежови такси и данъци. Схемата „плюс клиент“ позволява споделяне на излишъка от производството в рамките на имотите. ОРС в Норвегия осигуряват надеждно електрозахранване, интегрират възобновяеми енергийни източници и управляват данните на клиентите. Регулаторната рамка включва икономическо регулиране, </w:t>
      </w:r>
      <w:r w:rsidRPr="007906A8">
        <w:rPr>
          <w:rFonts w:ascii="Times New Roman" w:hAnsi="Times New Roman" w:cs="Times New Roman"/>
          <w:sz w:val="24"/>
          <w:szCs w:val="24"/>
          <w:lang w:val="bg"/>
        </w:rPr>
        <w:lastRenderedPageBreak/>
        <w:t>стандарти за качество на доставките, кодекси за свързване към мрежата и разпоредби за отговорността на системата. Местните пазари за гъвкавост позволяват на операторите на разпределителни системи да възлагат обществени поръчки за услуги за гъвкавост с цел управление на ограниченията на мрежата и претоварването. Чрез пазарната платформа NODES се улеснява гъвкавостта на търговията.</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 xml:space="preserve">Освен това в доклада се предоставят примери от редица държави — членки на ЕС, като се подчертават различните подходи към регистрацията и управлението на енергийната общност. Пътната карта за създаване на регистър на енергийната общност в България включва законодателни стъпки, административна подготовка, разработване и изпълнение. Регистърът се препоръчва да се администрира от АУЕР и следва да включва информация за </w:t>
      </w:r>
      <w:r w:rsidRPr="007906A8">
        <w:rPr>
          <w:rFonts w:ascii="Times New Roman" w:hAnsi="Times New Roman" w:cs="Times New Roman"/>
          <w:sz w:val="24"/>
          <w:szCs w:val="24"/>
        </w:rPr>
        <w:t>RECs</w:t>
      </w:r>
      <w:r w:rsidRPr="007906A8">
        <w:rPr>
          <w:rFonts w:ascii="Times New Roman" w:hAnsi="Times New Roman" w:cs="Times New Roman"/>
          <w:sz w:val="24"/>
          <w:szCs w:val="24"/>
          <w:lang w:val="bg"/>
        </w:rPr>
        <w:t xml:space="preserve"> и </w:t>
      </w:r>
      <w:r w:rsidRPr="007906A8">
        <w:rPr>
          <w:rFonts w:ascii="Times New Roman" w:hAnsi="Times New Roman" w:cs="Times New Roman"/>
          <w:sz w:val="24"/>
          <w:szCs w:val="24"/>
        </w:rPr>
        <w:t>CECs</w:t>
      </w:r>
      <w:r w:rsidRPr="007906A8">
        <w:rPr>
          <w:rFonts w:ascii="Times New Roman" w:hAnsi="Times New Roman" w:cs="Times New Roman"/>
          <w:sz w:val="24"/>
          <w:szCs w:val="24"/>
          <w:lang w:val="bg"/>
        </w:rPr>
        <w:t>.</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В доклада е описан пилотен проект, който се инициира в община Витоша. За целта се анализира създаването на енергийна общност между сгради с различни режими на работа чрез инсталиране на фотоволтаична система на покривите на училищните сгради. Пилотният проект се отнася до обследвания за енергийна ефективност, идеен проект, симулационни модели и оценка на възможностите за енергия от възобновяеми източници.</w:t>
      </w:r>
    </w:p>
    <w:p w:rsidR="007906A8" w:rsidRPr="007906A8" w:rsidRDefault="007906A8" w:rsidP="007906A8">
      <w:pPr>
        <w:spacing w:line="276" w:lineRule="auto"/>
        <w:jc w:val="both"/>
        <w:rPr>
          <w:rFonts w:ascii="Times New Roman" w:hAnsi="Times New Roman" w:cs="Times New Roman"/>
          <w:sz w:val="24"/>
          <w:szCs w:val="24"/>
          <w:lang w:val="bg"/>
        </w:rPr>
      </w:pPr>
      <w:r w:rsidRPr="007906A8">
        <w:rPr>
          <w:rFonts w:ascii="Times New Roman" w:hAnsi="Times New Roman" w:cs="Times New Roman"/>
          <w:sz w:val="24"/>
          <w:szCs w:val="24"/>
          <w:lang w:val="bg"/>
        </w:rPr>
        <w:t>Що се отнася до бизнес моделите, свързани с установяването на енергийна общност, докладът се съсредоточава върху споразуменията за закупуване на електроенергия (СЗЕ), кооперативните модели и публично-частните партньорства. Финансовият модел, от друга страна, отчита оперативните разходи, възвръщаемостта на инвестициите и ценообразуването на електроенергията.</w:t>
      </w:r>
    </w:p>
    <w:p w:rsidR="007906A8" w:rsidRPr="005A0A7F" w:rsidRDefault="007906A8" w:rsidP="005A0A7F">
      <w:pPr>
        <w:spacing w:line="276" w:lineRule="auto"/>
        <w:jc w:val="both"/>
        <w:rPr>
          <w:rFonts w:ascii="Times New Roman" w:hAnsi="Times New Roman" w:cs="Times New Roman"/>
          <w:sz w:val="24"/>
          <w:szCs w:val="24"/>
          <w:lang w:val="bg"/>
        </w:rPr>
      </w:pPr>
      <w:r w:rsidRPr="005A0A7F">
        <w:rPr>
          <w:rFonts w:ascii="Times New Roman" w:hAnsi="Times New Roman" w:cs="Times New Roman"/>
          <w:sz w:val="24"/>
          <w:szCs w:val="24"/>
          <w:lang w:val="bg"/>
        </w:rPr>
        <w:t>Изграждането на капацитет и ангажираността на заинтересованите страни включваха участието и обратната връзка на съответните заинтересовани страни. Натрупването на безценен принос от голямото разнообразие от групи заинтересовани страни — оператори на разпределителни системи, оператори на преносни системи, регулаторни органи, съществуващи енергийни общности, търговци, доставчици на платформи, регулаторни органи и академични среди (от Норвегия и България) даде възможност да се изготви набор от препоръки за улесняване на процеса на създаване на енергийни общности в България, като се имат предвид специфичните за страната условия. По-конкретно, представеният в доклада цялостен преглед на стратегиите, рамките и препоръките за напредък на енергийните общности в България подчертава значението на сътрудничеството между различните заинтересовани страни за постигане на успешно изпълнение.</w:t>
      </w:r>
    </w:p>
    <w:p w:rsidR="007906A8" w:rsidRPr="005A0A7F" w:rsidRDefault="007906A8" w:rsidP="005A0A7F">
      <w:pPr>
        <w:spacing w:line="276" w:lineRule="auto"/>
        <w:jc w:val="both"/>
        <w:rPr>
          <w:rFonts w:ascii="Times New Roman" w:hAnsi="Times New Roman" w:cs="Times New Roman"/>
          <w:sz w:val="24"/>
          <w:szCs w:val="24"/>
          <w:lang w:val="bg"/>
        </w:rPr>
      </w:pPr>
      <w:r w:rsidRPr="005A0A7F">
        <w:rPr>
          <w:rFonts w:ascii="Times New Roman" w:hAnsi="Times New Roman" w:cs="Times New Roman"/>
          <w:sz w:val="24"/>
          <w:szCs w:val="24"/>
          <w:lang w:val="bg"/>
        </w:rPr>
        <w:t>Важно е да се отбележи, че в доклада са очертани спецификациите за софтуерна платформа, предназначена да подпомага създаването и функционирането на енергийни общности в България. Платформата се основава на софтуер с отворен код, за да се гарантира прозрачност, гъвкавост и ефективност на разходите. Тя включва една или повече централизирани бази данни</w:t>
      </w:r>
      <w:r w:rsidRPr="007906A8">
        <w:rPr>
          <w:lang w:val="bg"/>
        </w:rPr>
        <w:t xml:space="preserve"> </w:t>
      </w:r>
      <w:r w:rsidRPr="005A0A7F">
        <w:rPr>
          <w:rFonts w:ascii="Times New Roman" w:hAnsi="Times New Roman" w:cs="Times New Roman"/>
          <w:sz w:val="24"/>
          <w:szCs w:val="24"/>
          <w:lang w:val="bg"/>
        </w:rPr>
        <w:t xml:space="preserve">за съхраняване на всички събрани данни, като показанията на измервателните уреди, основните данни и записите на транзакциите, като се гарантира последователност и лесен достъп за упълномощените потребители. Платформата поддържа анализ на данни в реално време и исторически данни, като предоставя ценна информация за моделите на потребление на енергия. Той разполага с усъвършенствани мерки за сигурност, включително криптиране и удостоверяване, за защита на чувствителна информация. Платформата включва и модули за управление на производството, </w:t>
      </w:r>
      <w:r w:rsidRPr="005A0A7F">
        <w:rPr>
          <w:rFonts w:ascii="Times New Roman" w:hAnsi="Times New Roman" w:cs="Times New Roman"/>
          <w:sz w:val="24"/>
          <w:szCs w:val="24"/>
          <w:lang w:val="bg"/>
        </w:rPr>
        <w:lastRenderedPageBreak/>
        <w:t>потреблението, съхранението и споделянето на енергия, както и инструменти за финансово управление, ангажираност на заинтересованите страни и мониторинг на съответствието. Освен това той предлага</w:t>
      </w:r>
      <w:r w:rsidR="005A0A7F" w:rsidRPr="005A0A7F">
        <w:rPr>
          <w:rFonts w:ascii="Times New Roman" w:hAnsi="Times New Roman" w:cs="Times New Roman"/>
          <w:sz w:val="24"/>
          <w:szCs w:val="24"/>
          <w:lang w:val="bg"/>
        </w:rPr>
        <w:t xml:space="preserve"> </w:t>
      </w:r>
      <w:r w:rsidRPr="005A0A7F">
        <w:rPr>
          <w:rFonts w:ascii="Times New Roman" w:hAnsi="Times New Roman" w:cs="Times New Roman"/>
          <w:sz w:val="24"/>
          <w:szCs w:val="24"/>
          <w:lang w:val="bg"/>
        </w:rPr>
        <w:softHyphen/>
        <w:t>лесни за ползване интерфейси както за администраторите, така и за крайните потребители, като улеснява ефективното управление на данните и процесите на вземане на решения.</w:t>
      </w:r>
    </w:p>
    <w:p w:rsidR="007906A8" w:rsidRDefault="007906A8" w:rsidP="005A0A7F">
      <w:pPr>
        <w:spacing w:line="276" w:lineRule="auto"/>
        <w:jc w:val="both"/>
        <w:rPr>
          <w:rFonts w:ascii="Times New Roman" w:hAnsi="Times New Roman" w:cs="Times New Roman"/>
          <w:sz w:val="24"/>
          <w:szCs w:val="24"/>
          <w:lang w:val="bg"/>
        </w:rPr>
      </w:pPr>
      <w:r w:rsidRPr="005A0A7F">
        <w:rPr>
          <w:rFonts w:ascii="Times New Roman" w:hAnsi="Times New Roman" w:cs="Times New Roman"/>
          <w:sz w:val="24"/>
          <w:szCs w:val="24"/>
          <w:lang w:val="bg"/>
        </w:rPr>
        <w:t>Докладът предоставя задълбочен и изчерпателен анализ на регулаторната рамка, техническите изисквания, ролите и отговорностите и бизнес моделите, необходими за създаване на енергийни общности в България, както и ценни препоръки. По този начин тя подкрепя процеса на устойчив и ефективен енергиен преход в България.</w:t>
      </w: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D76E9D" w:rsidRDefault="00D76E9D" w:rsidP="005A0A7F">
      <w:pPr>
        <w:spacing w:line="276" w:lineRule="auto"/>
        <w:jc w:val="both"/>
        <w:rPr>
          <w:rFonts w:ascii="Times New Roman" w:hAnsi="Times New Roman" w:cs="Times New Roman"/>
          <w:sz w:val="24"/>
          <w:szCs w:val="24"/>
          <w:lang w:val="bg"/>
        </w:rPr>
      </w:pPr>
    </w:p>
    <w:p w:rsidR="003862EB" w:rsidRDefault="003862EB" w:rsidP="005A0A7F">
      <w:pPr>
        <w:spacing w:line="276" w:lineRule="auto"/>
        <w:jc w:val="both"/>
        <w:rPr>
          <w:rFonts w:ascii="Times New Roman" w:hAnsi="Times New Roman" w:cs="Times New Roman"/>
          <w:sz w:val="24"/>
          <w:szCs w:val="24"/>
          <w:lang w:val="bg"/>
        </w:rPr>
      </w:pPr>
    </w:p>
    <w:p w:rsidR="003819B1" w:rsidRDefault="003819B1" w:rsidP="005A0A7F">
      <w:pPr>
        <w:spacing w:line="276" w:lineRule="auto"/>
        <w:jc w:val="both"/>
        <w:rPr>
          <w:rFonts w:ascii="Times New Roman" w:hAnsi="Times New Roman" w:cs="Times New Roman"/>
          <w:sz w:val="24"/>
          <w:szCs w:val="24"/>
          <w:lang w:val="bg"/>
        </w:rPr>
      </w:pPr>
    </w:p>
    <w:sdt>
      <w:sdtPr>
        <w:rPr>
          <w:rFonts w:asciiTheme="minorHAnsi" w:eastAsiaTheme="minorHAnsi" w:hAnsiTheme="minorHAnsi" w:cstheme="minorBidi"/>
          <w:color w:val="auto"/>
          <w:sz w:val="22"/>
          <w:szCs w:val="22"/>
        </w:rPr>
        <w:id w:val="-1752877220"/>
        <w:docPartObj>
          <w:docPartGallery w:val="Table of Contents"/>
          <w:docPartUnique/>
        </w:docPartObj>
      </w:sdtPr>
      <w:sdtEndPr>
        <w:rPr>
          <w:b/>
          <w:bCs/>
          <w:noProof/>
        </w:rPr>
      </w:sdtEndPr>
      <w:sdtContent>
        <w:p w:rsidR="0044526C" w:rsidRPr="003862EB" w:rsidRDefault="003862EB">
          <w:pPr>
            <w:pStyle w:val="TOCHeading"/>
            <w:rPr>
              <w:rFonts w:ascii="Times New Roman" w:hAnsi="Times New Roman" w:cs="Times New Roman"/>
              <w:color w:val="auto"/>
              <w:lang w:val="bg-BG"/>
            </w:rPr>
          </w:pPr>
          <w:r w:rsidRPr="003862EB">
            <w:rPr>
              <w:rFonts w:ascii="Times New Roman" w:hAnsi="Times New Roman" w:cs="Times New Roman"/>
              <w:color w:val="auto"/>
              <w:lang w:val="bg-BG"/>
            </w:rPr>
            <w:t>Съдържание</w:t>
          </w:r>
        </w:p>
        <w:p w:rsidR="00B169B8" w:rsidRDefault="0044526C">
          <w:pPr>
            <w:pStyle w:val="TOC1"/>
            <w:tabs>
              <w:tab w:val="right" w:leader="dot" w:pos="9367"/>
            </w:tabs>
            <w:rPr>
              <w:rFonts w:eastAsiaTheme="minorEastAsia"/>
              <w:noProof/>
            </w:rPr>
          </w:pPr>
          <w:r>
            <w:fldChar w:fldCharType="begin"/>
          </w:r>
          <w:r>
            <w:instrText xml:space="preserve"> TOC \o "1-3" \h \z \u </w:instrText>
          </w:r>
          <w:r>
            <w:fldChar w:fldCharType="separate"/>
          </w:r>
          <w:hyperlink w:anchor="_Toc203141251" w:history="1">
            <w:r w:rsidR="00B169B8" w:rsidRPr="00B92242">
              <w:rPr>
                <w:rStyle w:val="Hyperlink"/>
                <w:rFonts w:ascii="Times New Roman" w:hAnsi="Times New Roman" w:cs="Times New Roman"/>
                <w:b/>
                <w:noProof/>
                <w:lang w:val="bg"/>
              </w:rPr>
              <w:t>1.ОБЩИ ПОЛОЖЕНИЯ</w:t>
            </w:r>
            <w:r w:rsidR="00B169B8">
              <w:rPr>
                <w:noProof/>
                <w:webHidden/>
              </w:rPr>
              <w:tab/>
            </w:r>
            <w:r w:rsidR="00B169B8">
              <w:rPr>
                <w:noProof/>
                <w:webHidden/>
              </w:rPr>
              <w:fldChar w:fldCharType="begin"/>
            </w:r>
            <w:r w:rsidR="00B169B8">
              <w:rPr>
                <w:noProof/>
                <w:webHidden/>
              </w:rPr>
              <w:instrText xml:space="preserve"> PAGEREF _Toc203141251 \h </w:instrText>
            </w:r>
            <w:r w:rsidR="00B169B8">
              <w:rPr>
                <w:noProof/>
                <w:webHidden/>
              </w:rPr>
            </w:r>
            <w:r w:rsidR="00B169B8">
              <w:rPr>
                <w:noProof/>
                <w:webHidden/>
              </w:rPr>
              <w:fldChar w:fldCharType="separate"/>
            </w:r>
            <w:r w:rsidR="00B169B8">
              <w:rPr>
                <w:noProof/>
                <w:webHidden/>
              </w:rPr>
              <w:t>12</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252" w:history="1">
            <w:r w:rsidR="00B169B8" w:rsidRPr="00B92242">
              <w:rPr>
                <w:rStyle w:val="Hyperlink"/>
                <w:rFonts w:ascii="Times New Roman" w:hAnsi="Times New Roman" w:cs="Times New Roman"/>
                <w:noProof/>
                <w:lang w:val="bg"/>
              </w:rPr>
              <w:t>1.1</w:t>
            </w:r>
            <w:r w:rsidR="00B169B8">
              <w:rPr>
                <w:rFonts w:eastAsiaTheme="minorEastAsia"/>
                <w:noProof/>
              </w:rPr>
              <w:tab/>
            </w:r>
            <w:r w:rsidR="00B169B8" w:rsidRPr="00B92242">
              <w:rPr>
                <w:rStyle w:val="Hyperlink"/>
                <w:rFonts w:ascii="Times New Roman" w:hAnsi="Times New Roman" w:cs="Times New Roman"/>
                <w:noProof/>
                <w:lang w:val="bg"/>
              </w:rPr>
              <w:t>Цел на настоящия документ</w:t>
            </w:r>
            <w:r w:rsidR="00B169B8">
              <w:rPr>
                <w:noProof/>
                <w:webHidden/>
              </w:rPr>
              <w:tab/>
            </w:r>
            <w:r w:rsidR="00B169B8">
              <w:rPr>
                <w:noProof/>
                <w:webHidden/>
              </w:rPr>
              <w:fldChar w:fldCharType="begin"/>
            </w:r>
            <w:r w:rsidR="00B169B8">
              <w:rPr>
                <w:noProof/>
                <w:webHidden/>
              </w:rPr>
              <w:instrText xml:space="preserve"> PAGEREF _Toc203141252 \h </w:instrText>
            </w:r>
            <w:r w:rsidR="00B169B8">
              <w:rPr>
                <w:noProof/>
                <w:webHidden/>
              </w:rPr>
            </w:r>
            <w:r w:rsidR="00B169B8">
              <w:rPr>
                <w:noProof/>
                <w:webHidden/>
              </w:rPr>
              <w:fldChar w:fldCharType="separate"/>
            </w:r>
            <w:r w:rsidR="00B169B8">
              <w:rPr>
                <w:noProof/>
                <w:webHidden/>
              </w:rPr>
              <w:t>12</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253" w:history="1">
            <w:r w:rsidR="00B169B8" w:rsidRPr="00B92242">
              <w:rPr>
                <w:rStyle w:val="Hyperlink"/>
                <w:rFonts w:ascii="Times New Roman" w:hAnsi="Times New Roman" w:cs="Times New Roman"/>
                <w:noProof/>
              </w:rPr>
              <w:t>1.2</w:t>
            </w:r>
            <w:r w:rsidR="00B169B8">
              <w:rPr>
                <w:rFonts w:eastAsiaTheme="minorEastAsia"/>
                <w:noProof/>
              </w:rPr>
              <w:tab/>
            </w:r>
            <w:r w:rsidR="00B169B8" w:rsidRPr="00B92242">
              <w:rPr>
                <w:rStyle w:val="Hyperlink"/>
                <w:rFonts w:ascii="Times New Roman" w:hAnsi="Times New Roman" w:cs="Times New Roman"/>
                <w:noProof/>
              </w:rPr>
              <w:t>Публика</w:t>
            </w:r>
            <w:r w:rsidR="00B169B8">
              <w:rPr>
                <w:noProof/>
                <w:webHidden/>
              </w:rPr>
              <w:tab/>
            </w:r>
            <w:r w:rsidR="00B169B8">
              <w:rPr>
                <w:noProof/>
                <w:webHidden/>
              </w:rPr>
              <w:fldChar w:fldCharType="begin"/>
            </w:r>
            <w:r w:rsidR="00B169B8">
              <w:rPr>
                <w:noProof/>
                <w:webHidden/>
              </w:rPr>
              <w:instrText xml:space="preserve"> PAGEREF _Toc203141253 \h </w:instrText>
            </w:r>
            <w:r w:rsidR="00B169B8">
              <w:rPr>
                <w:noProof/>
                <w:webHidden/>
              </w:rPr>
            </w:r>
            <w:r w:rsidR="00B169B8">
              <w:rPr>
                <w:noProof/>
                <w:webHidden/>
              </w:rPr>
              <w:fldChar w:fldCharType="separate"/>
            </w:r>
            <w:r w:rsidR="00B169B8">
              <w:rPr>
                <w:noProof/>
                <w:webHidden/>
              </w:rPr>
              <w:t>13</w:t>
            </w:r>
            <w:r w:rsidR="00B169B8">
              <w:rPr>
                <w:noProof/>
                <w:webHidden/>
              </w:rPr>
              <w:fldChar w:fldCharType="end"/>
            </w:r>
          </w:hyperlink>
        </w:p>
        <w:p w:rsidR="00B169B8" w:rsidRDefault="00567EA3">
          <w:pPr>
            <w:pStyle w:val="TOC1"/>
            <w:tabs>
              <w:tab w:val="right" w:leader="dot" w:pos="9367"/>
            </w:tabs>
            <w:rPr>
              <w:rFonts w:eastAsiaTheme="minorEastAsia"/>
              <w:noProof/>
            </w:rPr>
          </w:pPr>
          <w:hyperlink w:anchor="_Toc203141254" w:history="1">
            <w:r w:rsidR="00B169B8" w:rsidRPr="00B92242">
              <w:rPr>
                <w:rStyle w:val="Hyperlink"/>
                <w:rFonts w:ascii="Times New Roman" w:hAnsi="Times New Roman" w:cs="Times New Roman"/>
                <w:noProof/>
                <w:lang w:val="bg"/>
              </w:rPr>
              <w:t>2. Въведение</w:t>
            </w:r>
            <w:r w:rsidR="00B169B8">
              <w:rPr>
                <w:noProof/>
                <w:webHidden/>
              </w:rPr>
              <w:tab/>
            </w:r>
            <w:r w:rsidR="00B169B8">
              <w:rPr>
                <w:noProof/>
                <w:webHidden/>
              </w:rPr>
              <w:fldChar w:fldCharType="begin"/>
            </w:r>
            <w:r w:rsidR="00B169B8">
              <w:rPr>
                <w:noProof/>
                <w:webHidden/>
              </w:rPr>
              <w:instrText xml:space="preserve"> PAGEREF _Toc203141254 \h </w:instrText>
            </w:r>
            <w:r w:rsidR="00B169B8">
              <w:rPr>
                <w:noProof/>
                <w:webHidden/>
              </w:rPr>
            </w:r>
            <w:r w:rsidR="00B169B8">
              <w:rPr>
                <w:noProof/>
                <w:webHidden/>
              </w:rPr>
              <w:fldChar w:fldCharType="separate"/>
            </w:r>
            <w:r w:rsidR="00B169B8">
              <w:rPr>
                <w:noProof/>
                <w:webHidden/>
              </w:rPr>
              <w:t>13</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255" w:history="1">
            <w:r w:rsidR="00B169B8" w:rsidRPr="00B92242">
              <w:rPr>
                <w:rStyle w:val="Hyperlink"/>
                <w:rFonts w:ascii="Times New Roman" w:hAnsi="Times New Roman" w:cs="Times New Roman"/>
                <w:noProof/>
                <w:lang w:val="bg-BG"/>
              </w:rPr>
              <w:t xml:space="preserve">2.1 </w:t>
            </w:r>
            <w:r w:rsidR="00B169B8" w:rsidRPr="00B92242">
              <w:rPr>
                <w:rStyle w:val="Hyperlink"/>
                <w:rFonts w:ascii="Times New Roman" w:hAnsi="Times New Roman" w:cs="Times New Roman"/>
                <w:noProof/>
              </w:rPr>
              <w:t>Контекст</w:t>
            </w:r>
            <w:r w:rsidR="00B169B8">
              <w:rPr>
                <w:noProof/>
                <w:webHidden/>
              </w:rPr>
              <w:tab/>
            </w:r>
            <w:r w:rsidR="00B169B8">
              <w:rPr>
                <w:noProof/>
                <w:webHidden/>
              </w:rPr>
              <w:fldChar w:fldCharType="begin"/>
            </w:r>
            <w:r w:rsidR="00B169B8">
              <w:rPr>
                <w:noProof/>
                <w:webHidden/>
              </w:rPr>
              <w:instrText xml:space="preserve"> PAGEREF _Toc203141255 \h </w:instrText>
            </w:r>
            <w:r w:rsidR="00B169B8">
              <w:rPr>
                <w:noProof/>
                <w:webHidden/>
              </w:rPr>
            </w:r>
            <w:r w:rsidR="00B169B8">
              <w:rPr>
                <w:noProof/>
                <w:webHidden/>
              </w:rPr>
              <w:fldChar w:fldCharType="separate"/>
            </w:r>
            <w:r w:rsidR="00B169B8">
              <w:rPr>
                <w:noProof/>
                <w:webHidden/>
              </w:rPr>
              <w:t>14</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256" w:history="1">
            <w:r w:rsidR="00B169B8" w:rsidRPr="00B92242">
              <w:rPr>
                <w:rStyle w:val="Hyperlink"/>
                <w:rFonts w:ascii="Times New Roman" w:hAnsi="Times New Roman" w:cs="Times New Roman"/>
                <w:noProof/>
                <w:lang w:val="bg"/>
              </w:rPr>
              <w:t>2.2</w:t>
            </w:r>
            <w:r w:rsidR="00B169B8">
              <w:rPr>
                <w:rFonts w:eastAsiaTheme="minorEastAsia"/>
                <w:noProof/>
              </w:rPr>
              <w:tab/>
            </w:r>
            <w:r w:rsidR="00B169B8" w:rsidRPr="00B92242">
              <w:rPr>
                <w:rStyle w:val="Hyperlink"/>
                <w:rFonts w:ascii="Times New Roman" w:hAnsi="Times New Roman" w:cs="Times New Roman"/>
                <w:noProof/>
                <w:lang w:val="bg"/>
              </w:rPr>
              <w:t>Определения на енергийните общности в Европейския съюз</w:t>
            </w:r>
            <w:r w:rsidR="00B169B8">
              <w:rPr>
                <w:noProof/>
                <w:webHidden/>
              </w:rPr>
              <w:tab/>
            </w:r>
            <w:r w:rsidR="00B169B8">
              <w:rPr>
                <w:noProof/>
                <w:webHidden/>
              </w:rPr>
              <w:fldChar w:fldCharType="begin"/>
            </w:r>
            <w:r w:rsidR="00B169B8">
              <w:rPr>
                <w:noProof/>
                <w:webHidden/>
              </w:rPr>
              <w:instrText xml:space="preserve"> PAGEREF _Toc203141256 \h </w:instrText>
            </w:r>
            <w:r w:rsidR="00B169B8">
              <w:rPr>
                <w:noProof/>
                <w:webHidden/>
              </w:rPr>
            </w:r>
            <w:r w:rsidR="00B169B8">
              <w:rPr>
                <w:noProof/>
                <w:webHidden/>
              </w:rPr>
              <w:fldChar w:fldCharType="separate"/>
            </w:r>
            <w:r w:rsidR="00B169B8">
              <w:rPr>
                <w:noProof/>
                <w:webHidden/>
              </w:rPr>
              <w:t>15</w:t>
            </w:r>
            <w:r w:rsidR="00B169B8">
              <w:rPr>
                <w:noProof/>
                <w:webHidden/>
              </w:rPr>
              <w:fldChar w:fldCharType="end"/>
            </w:r>
          </w:hyperlink>
        </w:p>
        <w:p w:rsidR="00B169B8" w:rsidRDefault="00567EA3">
          <w:pPr>
            <w:pStyle w:val="TOC1"/>
            <w:tabs>
              <w:tab w:val="right" w:leader="dot" w:pos="9367"/>
            </w:tabs>
            <w:rPr>
              <w:rFonts w:eastAsiaTheme="minorEastAsia"/>
              <w:noProof/>
            </w:rPr>
          </w:pPr>
          <w:hyperlink w:anchor="_Toc203141257" w:history="1">
            <w:r w:rsidR="00B169B8" w:rsidRPr="00B92242">
              <w:rPr>
                <w:rStyle w:val="Hyperlink"/>
                <w:rFonts w:ascii="Times New Roman" w:hAnsi="Times New Roman" w:cs="Times New Roman"/>
                <w:noProof/>
                <w:lang w:val="bg"/>
              </w:rPr>
              <w:t xml:space="preserve">3. </w:t>
            </w:r>
            <w:r w:rsidR="00B169B8" w:rsidRPr="00B92242">
              <w:rPr>
                <w:rStyle w:val="Hyperlink"/>
                <w:rFonts w:ascii="Times New Roman" w:hAnsi="Times New Roman" w:cs="Times New Roman"/>
                <w:b/>
                <w:noProof/>
                <w:lang w:val="bg"/>
              </w:rPr>
              <w:t>АНАЛИЗ НА РЕГУЛАТОРНАТА РАМКА И ПРОПУСКИТЕ В ПОЛИТИКАТА</w:t>
            </w:r>
            <w:r w:rsidR="00B169B8">
              <w:rPr>
                <w:noProof/>
                <w:webHidden/>
              </w:rPr>
              <w:tab/>
            </w:r>
            <w:r w:rsidR="00B169B8">
              <w:rPr>
                <w:noProof/>
                <w:webHidden/>
              </w:rPr>
              <w:fldChar w:fldCharType="begin"/>
            </w:r>
            <w:r w:rsidR="00B169B8">
              <w:rPr>
                <w:noProof/>
                <w:webHidden/>
              </w:rPr>
              <w:instrText xml:space="preserve"> PAGEREF _Toc203141257 \h </w:instrText>
            </w:r>
            <w:r w:rsidR="00B169B8">
              <w:rPr>
                <w:noProof/>
                <w:webHidden/>
              </w:rPr>
            </w:r>
            <w:r w:rsidR="00B169B8">
              <w:rPr>
                <w:noProof/>
                <w:webHidden/>
              </w:rPr>
              <w:fldChar w:fldCharType="separate"/>
            </w:r>
            <w:r w:rsidR="00B169B8">
              <w:rPr>
                <w:noProof/>
                <w:webHidden/>
              </w:rPr>
              <w:t>17</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258" w:history="1">
            <w:r w:rsidR="00B169B8" w:rsidRPr="00B92242">
              <w:rPr>
                <w:rStyle w:val="Hyperlink"/>
                <w:rFonts w:ascii="Times New Roman" w:hAnsi="Times New Roman" w:cs="Times New Roman"/>
                <w:noProof/>
                <w:lang w:val="bg"/>
              </w:rPr>
              <w:t>3.1 Картографиране на българските разпоредби от значение за енергийните общности</w:t>
            </w:r>
            <w:r w:rsidR="00B169B8">
              <w:rPr>
                <w:noProof/>
                <w:webHidden/>
              </w:rPr>
              <w:tab/>
            </w:r>
            <w:r w:rsidR="00B169B8">
              <w:rPr>
                <w:noProof/>
                <w:webHidden/>
              </w:rPr>
              <w:fldChar w:fldCharType="begin"/>
            </w:r>
            <w:r w:rsidR="00B169B8">
              <w:rPr>
                <w:noProof/>
                <w:webHidden/>
              </w:rPr>
              <w:instrText xml:space="preserve"> PAGEREF _Toc203141258 \h </w:instrText>
            </w:r>
            <w:r w:rsidR="00B169B8">
              <w:rPr>
                <w:noProof/>
                <w:webHidden/>
              </w:rPr>
            </w:r>
            <w:r w:rsidR="00B169B8">
              <w:rPr>
                <w:noProof/>
                <w:webHidden/>
              </w:rPr>
              <w:fldChar w:fldCharType="separate"/>
            </w:r>
            <w:r w:rsidR="00B169B8">
              <w:rPr>
                <w:noProof/>
                <w:webHidden/>
              </w:rPr>
              <w:t>17</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59" w:history="1">
            <w:r w:rsidR="00B169B8" w:rsidRPr="00B92242">
              <w:rPr>
                <w:rStyle w:val="Hyperlink"/>
                <w:rFonts w:ascii="Times New Roman" w:hAnsi="Times New Roman" w:cs="Times New Roman"/>
                <w:noProof/>
                <w:lang w:val="bg"/>
              </w:rPr>
              <w:t>3.1.1 Приложимо българско законодателство и наредби</w:t>
            </w:r>
            <w:r w:rsidR="00B169B8">
              <w:rPr>
                <w:noProof/>
                <w:webHidden/>
              </w:rPr>
              <w:tab/>
            </w:r>
            <w:r w:rsidR="00B169B8">
              <w:rPr>
                <w:noProof/>
                <w:webHidden/>
              </w:rPr>
              <w:fldChar w:fldCharType="begin"/>
            </w:r>
            <w:r w:rsidR="00B169B8">
              <w:rPr>
                <w:noProof/>
                <w:webHidden/>
              </w:rPr>
              <w:instrText xml:space="preserve"> PAGEREF _Toc203141259 \h </w:instrText>
            </w:r>
            <w:r w:rsidR="00B169B8">
              <w:rPr>
                <w:noProof/>
                <w:webHidden/>
              </w:rPr>
            </w:r>
            <w:r w:rsidR="00B169B8">
              <w:rPr>
                <w:noProof/>
                <w:webHidden/>
              </w:rPr>
              <w:fldChar w:fldCharType="separate"/>
            </w:r>
            <w:r w:rsidR="00B169B8">
              <w:rPr>
                <w:noProof/>
                <w:webHidden/>
              </w:rPr>
              <w:t>18</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60" w:history="1">
            <w:r w:rsidR="00B169B8" w:rsidRPr="00B92242">
              <w:rPr>
                <w:rStyle w:val="Hyperlink"/>
                <w:rFonts w:ascii="Times New Roman" w:hAnsi="Times New Roman" w:cs="Times New Roman"/>
                <w:noProof/>
                <w:lang w:val="bg"/>
              </w:rPr>
              <w:t>3.1.3 Институционална рамка и ключови участници</w:t>
            </w:r>
            <w:r w:rsidR="00B169B8">
              <w:rPr>
                <w:noProof/>
                <w:webHidden/>
              </w:rPr>
              <w:tab/>
            </w:r>
            <w:r w:rsidR="00B169B8">
              <w:rPr>
                <w:noProof/>
                <w:webHidden/>
              </w:rPr>
              <w:fldChar w:fldCharType="begin"/>
            </w:r>
            <w:r w:rsidR="00B169B8">
              <w:rPr>
                <w:noProof/>
                <w:webHidden/>
              </w:rPr>
              <w:instrText xml:space="preserve"> PAGEREF _Toc203141260 \h </w:instrText>
            </w:r>
            <w:r w:rsidR="00B169B8">
              <w:rPr>
                <w:noProof/>
                <w:webHidden/>
              </w:rPr>
            </w:r>
            <w:r w:rsidR="00B169B8">
              <w:rPr>
                <w:noProof/>
                <w:webHidden/>
              </w:rPr>
              <w:fldChar w:fldCharType="separate"/>
            </w:r>
            <w:r w:rsidR="00B169B8">
              <w:rPr>
                <w:noProof/>
                <w:webHidden/>
              </w:rPr>
              <w:t>19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1" w:history="1">
            <w:r w:rsidR="00B169B8" w:rsidRPr="00B92242">
              <w:rPr>
                <w:rStyle w:val="Hyperlink"/>
                <w:rFonts w:ascii="Times New Roman" w:hAnsi="Times New Roman" w:cs="Times New Roman"/>
                <w:noProof/>
                <w:lang w:val="bg"/>
              </w:rPr>
              <w:t>3.1.5</w:t>
            </w:r>
            <w:r w:rsidR="00B169B8">
              <w:rPr>
                <w:rFonts w:eastAsiaTheme="minorEastAsia"/>
                <w:noProof/>
              </w:rPr>
              <w:tab/>
            </w:r>
            <w:r w:rsidR="00B169B8" w:rsidRPr="00B92242">
              <w:rPr>
                <w:rStyle w:val="Hyperlink"/>
                <w:rFonts w:ascii="Times New Roman" w:hAnsi="Times New Roman" w:cs="Times New Roman"/>
                <w:noProof/>
                <w:lang w:val="bg"/>
              </w:rPr>
              <w:t>Енергийни общности съгласно българското законодателство</w:t>
            </w:r>
            <w:r w:rsidR="00B169B8">
              <w:rPr>
                <w:noProof/>
                <w:webHidden/>
              </w:rPr>
              <w:tab/>
            </w:r>
            <w:r w:rsidR="00B169B8">
              <w:rPr>
                <w:noProof/>
                <w:webHidden/>
              </w:rPr>
              <w:fldChar w:fldCharType="begin"/>
            </w:r>
            <w:r w:rsidR="00B169B8">
              <w:rPr>
                <w:noProof/>
                <w:webHidden/>
              </w:rPr>
              <w:instrText xml:space="preserve"> PAGEREF _Toc203141261 \h </w:instrText>
            </w:r>
            <w:r w:rsidR="00B169B8">
              <w:rPr>
                <w:noProof/>
                <w:webHidden/>
              </w:rPr>
            </w:r>
            <w:r w:rsidR="00B169B8">
              <w:rPr>
                <w:noProof/>
                <w:webHidden/>
              </w:rPr>
              <w:fldChar w:fldCharType="separate"/>
            </w:r>
            <w:r w:rsidR="00B169B8">
              <w:rPr>
                <w:noProof/>
                <w:webHidden/>
              </w:rPr>
              <w:t>21</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2" w:history="1">
            <w:r w:rsidR="00B169B8" w:rsidRPr="00B92242">
              <w:rPr>
                <w:rStyle w:val="Hyperlink"/>
                <w:rFonts w:ascii="Times New Roman" w:hAnsi="Times New Roman" w:cs="Times New Roman"/>
                <w:noProof/>
                <w:lang w:val="bg"/>
              </w:rPr>
              <w:t>3.1.6</w:t>
            </w:r>
            <w:r w:rsidR="00B169B8">
              <w:rPr>
                <w:rFonts w:eastAsiaTheme="minorEastAsia"/>
                <w:noProof/>
              </w:rPr>
              <w:tab/>
            </w:r>
            <w:r w:rsidR="00B169B8" w:rsidRPr="00B92242">
              <w:rPr>
                <w:rStyle w:val="Hyperlink"/>
                <w:rFonts w:ascii="Times New Roman" w:hAnsi="Times New Roman" w:cs="Times New Roman"/>
                <w:noProof/>
                <w:lang w:val="bg"/>
              </w:rPr>
              <w:t>Правно-организационна форма и управление</w:t>
            </w:r>
            <w:r w:rsidR="00B169B8">
              <w:rPr>
                <w:noProof/>
                <w:webHidden/>
              </w:rPr>
              <w:tab/>
            </w:r>
            <w:r w:rsidR="00B169B8">
              <w:rPr>
                <w:noProof/>
                <w:webHidden/>
              </w:rPr>
              <w:fldChar w:fldCharType="begin"/>
            </w:r>
            <w:r w:rsidR="00B169B8">
              <w:rPr>
                <w:noProof/>
                <w:webHidden/>
              </w:rPr>
              <w:instrText xml:space="preserve"> PAGEREF _Toc203141262 \h </w:instrText>
            </w:r>
            <w:r w:rsidR="00B169B8">
              <w:rPr>
                <w:noProof/>
                <w:webHidden/>
              </w:rPr>
            </w:r>
            <w:r w:rsidR="00B169B8">
              <w:rPr>
                <w:noProof/>
                <w:webHidden/>
              </w:rPr>
              <w:fldChar w:fldCharType="separate"/>
            </w:r>
            <w:r w:rsidR="00B169B8">
              <w:rPr>
                <w:noProof/>
                <w:webHidden/>
              </w:rPr>
              <w:t>22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3" w:history="1">
            <w:r w:rsidR="00B169B8" w:rsidRPr="00B92242">
              <w:rPr>
                <w:rStyle w:val="Hyperlink"/>
                <w:rFonts w:ascii="Times New Roman" w:hAnsi="Times New Roman" w:cs="Times New Roman"/>
                <w:noProof/>
                <w:lang w:val="bg"/>
              </w:rPr>
              <w:t>3.1.7</w:t>
            </w:r>
            <w:r w:rsidR="00B169B8">
              <w:rPr>
                <w:rFonts w:eastAsiaTheme="minorEastAsia"/>
                <w:noProof/>
              </w:rPr>
              <w:tab/>
            </w:r>
            <w:r w:rsidR="00B169B8" w:rsidRPr="00B92242">
              <w:rPr>
                <w:rStyle w:val="Hyperlink"/>
                <w:rFonts w:ascii="Times New Roman" w:hAnsi="Times New Roman" w:cs="Times New Roman"/>
                <w:noProof/>
                <w:lang w:val="bg"/>
              </w:rPr>
              <w:t>Производство, потребление, съхранение и споделяне на енергия</w:t>
            </w:r>
            <w:r w:rsidR="00B169B8">
              <w:rPr>
                <w:noProof/>
                <w:webHidden/>
              </w:rPr>
              <w:tab/>
            </w:r>
            <w:r w:rsidR="00B169B8">
              <w:rPr>
                <w:noProof/>
                <w:webHidden/>
              </w:rPr>
              <w:fldChar w:fldCharType="begin"/>
            </w:r>
            <w:r w:rsidR="00B169B8">
              <w:rPr>
                <w:noProof/>
                <w:webHidden/>
              </w:rPr>
              <w:instrText xml:space="preserve"> PAGEREF _Toc203141263 \h </w:instrText>
            </w:r>
            <w:r w:rsidR="00B169B8">
              <w:rPr>
                <w:noProof/>
                <w:webHidden/>
              </w:rPr>
            </w:r>
            <w:r w:rsidR="00B169B8">
              <w:rPr>
                <w:noProof/>
                <w:webHidden/>
              </w:rPr>
              <w:fldChar w:fldCharType="separate"/>
            </w:r>
            <w:r w:rsidR="00B169B8">
              <w:rPr>
                <w:noProof/>
                <w:webHidden/>
              </w:rPr>
              <w:t>23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4" w:history="1">
            <w:r w:rsidR="00B169B8" w:rsidRPr="00B92242">
              <w:rPr>
                <w:rStyle w:val="Hyperlink"/>
                <w:rFonts w:ascii="Times New Roman" w:hAnsi="Times New Roman" w:cs="Times New Roman"/>
                <w:noProof/>
                <w:lang w:val="bg"/>
              </w:rPr>
              <w:t>3.1.8</w:t>
            </w:r>
            <w:r w:rsidR="00B169B8">
              <w:rPr>
                <w:rFonts w:eastAsiaTheme="minorEastAsia"/>
                <w:noProof/>
              </w:rPr>
              <w:tab/>
            </w:r>
            <w:r w:rsidR="00B169B8" w:rsidRPr="00B92242">
              <w:rPr>
                <w:rStyle w:val="Hyperlink"/>
                <w:rFonts w:ascii="Times New Roman" w:hAnsi="Times New Roman" w:cs="Times New Roman"/>
                <w:noProof/>
                <w:lang w:val="bg"/>
              </w:rPr>
              <w:t>Собственост и управление на инсталации за енергия от възобновяеми източници от трети страни</w:t>
            </w:r>
            <w:r w:rsidR="00B169B8">
              <w:rPr>
                <w:noProof/>
                <w:webHidden/>
              </w:rPr>
              <w:tab/>
            </w:r>
            <w:r w:rsidR="00B169B8">
              <w:rPr>
                <w:noProof/>
                <w:webHidden/>
              </w:rPr>
              <w:fldChar w:fldCharType="begin"/>
            </w:r>
            <w:r w:rsidR="00B169B8">
              <w:rPr>
                <w:noProof/>
                <w:webHidden/>
              </w:rPr>
              <w:instrText xml:space="preserve"> PAGEREF _Toc203141264 \h </w:instrText>
            </w:r>
            <w:r w:rsidR="00B169B8">
              <w:rPr>
                <w:noProof/>
                <w:webHidden/>
              </w:rPr>
            </w:r>
            <w:r w:rsidR="00B169B8">
              <w:rPr>
                <w:noProof/>
                <w:webHidden/>
              </w:rPr>
              <w:fldChar w:fldCharType="separate"/>
            </w:r>
            <w:r w:rsidR="00B169B8">
              <w:rPr>
                <w:noProof/>
                <w:webHidden/>
              </w:rPr>
              <w:t>25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5" w:history="1">
            <w:r w:rsidR="00B169B8" w:rsidRPr="00B92242">
              <w:rPr>
                <w:rStyle w:val="Hyperlink"/>
                <w:rFonts w:ascii="Times New Roman" w:hAnsi="Times New Roman" w:cs="Times New Roman"/>
                <w:noProof/>
                <w:lang w:val="bg"/>
              </w:rPr>
              <w:t>3.1.9</w:t>
            </w:r>
            <w:r w:rsidR="00B169B8">
              <w:rPr>
                <w:rFonts w:eastAsiaTheme="minorEastAsia"/>
                <w:noProof/>
              </w:rPr>
              <w:tab/>
            </w:r>
            <w:r w:rsidR="00B169B8" w:rsidRPr="00B92242">
              <w:rPr>
                <w:rStyle w:val="Hyperlink"/>
                <w:rFonts w:ascii="Times New Roman" w:hAnsi="Times New Roman" w:cs="Times New Roman"/>
                <w:noProof/>
                <w:lang w:val="bg"/>
              </w:rPr>
              <w:t>Гаранции за произход</w:t>
            </w:r>
            <w:r w:rsidR="00B169B8">
              <w:rPr>
                <w:noProof/>
                <w:webHidden/>
              </w:rPr>
              <w:tab/>
            </w:r>
            <w:r w:rsidR="00B169B8">
              <w:rPr>
                <w:noProof/>
                <w:webHidden/>
              </w:rPr>
              <w:fldChar w:fldCharType="begin"/>
            </w:r>
            <w:r w:rsidR="00B169B8">
              <w:rPr>
                <w:noProof/>
                <w:webHidden/>
              </w:rPr>
              <w:instrText xml:space="preserve"> PAGEREF _Toc203141265 \h </w:instrText>
            </w:r>
            <w:r w:rsidR="00B169B8">
              <w:rPr>
                <w:noProof/>
                <w:webHidden/>
              </w:rPr>
            </w:r>
            <w:r w:rsidR="00B169B8">
              <w:rPr>
                <w:noProof/>
                <w:webHidden/>
              </w:rPr>
              <w:fldChar w:fldCharType="separate"/>
            </w:r>
            <w:r w:rsidR="00B169B8">
              <w:rPr>
                <w:noProof/>
                <w:webHidden/>
              </w:rPr>
              <w:t>26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6" w:history="1">
            <w:r w:rsidR="00B169B8" w:rsidRPr="00B92242">
              <w:rPr>
                <w:rStyle w:val="Hyperlink"/>
                <w:rFonts w:ascii="Times New Roman" w:hAnsi="Times New Roman" w:cs="Times New Roman"/>
                <w:noProof/>
                <w:lang w:val="bg"/>
              </w:rPr>
              <w:t>3.1.10</w:t>
            </w:r>
            <w:r w:rsidR="00B169B8">
              <w:rPr>
                <w:rFonts w:eastAsiaTheme="minorEastAsia"/>
                <w:noProof/>
              </w:rPr>
              <w:tab/>
            </w:r>
            <w:r w:rsidR="00B169B8" w:rsidRPr="00B92242">
              <w:rPr>
                <w:rStyle w:val="Hyperlink"/>
                <w:rFonts w:ascii="Times New Roman" w:hAnsi="Times New Roman" w:cs="Times New Roman"/>
                <w:noProof/>
                <w:lang w:val="bg"/>
              </w:rPr>
              <w:t>Обща регулаторна рамка за присъединяване към мрежата и изграждане на малки инсталации за енергия от възобновяеми източници</w:t>
            </w:r>
            <w:r w:rsidR="00B169B8">
              <w:rPr>
                <w:noProof/>
                <w:webHidden/>
              </w:rPr>
              <w:tab/>
            </w:r>
            <w:r w:rsidR="00B169B8">
              <w:rPr>
                <w:noProof/>
                <w:webHidden/>
              </w:rPr>
              <w:fldChar w:fldCharType="begin"/>
            </w:r>
            <w:r w:rsidR="00B169B8">
              <w:rPr>
                <w:noProof/>
                <w:webHidden/>
              </w:rPr>
              <w:instrText xml:space="preserve"> PAGEREF _Toc203141266 \h </w:instrText>
            </w:r>
            <w:r w:rsidR="00B169B8">
              <w:rPr>
                <w:noProof/>
                <w:webHidden/>
              </w:rPr>
            </w:r>
            <w:r w:rsidR="00B169B8">
              <w:rPr>
                <w:noProof/>
                <w:webHidden/>
              </w:rPr>
              <w:fldChar w:fldCharType="separate"/>
            </w:r>
            <w:r w:rsidR="00B169B8">
              <w:rPr>
                <w:noProof/>
                <w:webHidden/>
              </w:rPr>
              <w:t>27</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7" w:history="1">
            <w:r w:rsidR="00B169B8" w:rsidRPr="00B92242">
              <w:rPr>
                <w:rStyle w:val="Hyperlink"/>
                <w:rFonts w:ascii="Times New Roman" w:hAnsi="Times New Roman" w:cs="Times New Roman"/>
                <w:noProof/>
                <w:lang w:val="bg"/>
              </w:rPr>
              <w:t>3.1.11</w:t>
            </w:r>
            <w:r w:rsidR="00B169B8">
              <w:rPr>
                <w:rFonts w:eastAsiaTheme="minorEastAsia"/>
                <w:noProof/>
              </w:rPr>
              <w:tab/>
            </w:r>
            <w:r w:rsidR="00B169B8" w:rsidRPr="00B92242">
              <w:rPr>
                <w:rStyle w:val="Hyperlink"/>
                <w:rFonts w:ascii="Times New Roman" w:hAnsi="Times New Roman" w:cs="Times New Roman"/>
                <w:noProof/>
                <w:lang w:val="bg"/>
              </w:rPr>
              <w:t>Микромрежи в България: регулаторна рамка и предизвикателства</w:t>
            </w:r>
            <w:r w:rsidR="00B169B8">
              <w:rPr>
                <w:noProof/>
                <w:webHidden/>
              </w:rPr>
              <w:tab/>
            </w:r>
            <w:r w:rsidR="00B169B8">
              <w:rPr>
                <w:noProof/>
                <w:webHidden/>
              </w:rPr>
              <w:fldChar w:fldCharType="begin"/>
            </w:r>
            <w:r w:rsidR="00B169B8">
              <w:rPr>
                <w:noProof/>
                <w:webHidden/>
              </w:rPr>
              <w:instrText xml:space="preserve"> PAGEREF _Toc203141267 \h </w:instrText>
            </w:r>
            <w:r w:rsidR="00B169B8">
              <w:rPr>
                <w:noProof/>
                <w:webHidden/>
              </w:rPr>
            </w:r>
            <w:r w:rsidR="00B169B8">
              <w:rPr>
                <w:noProof/>
                <w:webHidden/>
              </w:rPr>
              <w:fldChar w:fldCharType="separate"/>
            </w:r>
            <w:r w:rsidR="00B169B8">
              <w:rPr>
                <w:noProof/>
                <w:webHidden/>
              </w:rPr>
              <w:t>28</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68" w:history="1">
            <w:r w:rsidR="00B169B8" w:rsidRPr="00B92242">
              <w:rPr>
                <w:rStyle w:val="Hyperlink"/>
                <w:rFonts w:ascii="Times New Roman" w:hAnsi="Times New Roman" w:cs="Times New Roman"/>
                <w:noProof/>
                <w:lang w:val="bg-BG"/>
              </w:rPr>
              <w:t>3.1.12</w:t>
            </w:r>
            <w:r w:rsidR="00B169B8">
              <w:rPr>
                <w:rFonts w:eastAsiaTheme="minorEastAsia"/>
                <w:noProof/>
              </w:rPr>
              <w:tab/>
            </w:r>
            <w:r w:rsidR="00B169B8" w:rsidRPr="00B92242">
              <w:rPr>
                <w:rStyle w:val="Hyperlink"/>
                <w:rFonts w:ascii="Times New Roman" w:hAnsi="Times New Roman" w:cs="Times New Roman"/>
                <w:noProof/>
                <w:lang w:val="bg-BG"/>
              </w:rPr>
              <w:t>Административни услуги за енергийните общности: необходимостта от обслужване на едно гише и централен регистър</w:t>
            </w:r>
            <w:r w:rsidR="00B169B8">
              <w:rPr>
                <w:noProof/>
                <w:webHidden/>
              </w:rPr>
              <w:tab/>
            </w:r>
            <w:r w:rsidR="00B169B8">
              <w:rPr>
                <w:noProof/>
                <w:webHidden/>
              </w:rPr>
              <w:fldChar w:fldCharType="begin"/>
            </w:r>
            <w:r w:rsidR="00B169B8">
              <w:rPr>
                <w:noProof/>
                <w:webHidden/>
              </w:rPr>
              <w:instrText xml:space="preserve"> PAGEREF _Toc203141268 \h </w:instrText>
            </w:r>
            <w:r w:rsidR="00B169B8">
              <w:rPr>
                <w:noProof/>
                <w:webHidden/>
              </w:rPr>
            </w:r>
            <w:r w:rsidR="00B169B8">
              <w:rPr>
                <w:noProof/>
                <w:webHidden/>
              </w:rPr>
              <w:fldChar w:fldCharType="separate"/>
            </w:r>
            <w:r w:rsidR="00B169B8">
              <w:rPr>
                <w:noProof/>
                <w:webHidden/>
              </w:rPr>
              <w:t>30</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269" w:history="1">
            <w:r w:rsidR="00B169B8" w:rsidRPr="00B92242">
              <w:rPr>
                <w:rStyle w:val="Hyperlink"/>
                <w:rFonts w:ascii="Times New Roman" w:hAnsi="Times New Roman" w:cs="Times New Roman"/>
                <w:noProof/>
                <w:lang w:val="bg-BG"/>
              </w:rPr>
              <w:t>3.2</w:t>
            </w:r>
            <w:r w:rsidR="00B169B8" w:rsidRPr="00B92242">
              <w:rPr>
                <w:rStyle w:val="Hyperlink"/>
                <w:rFonts w:ascii="Times New Roman" w:hAnsi="Times New Roman" w:cs="Times New Roman"/>
                <w:noProof/>
                <w:lang w:val="bg"/>
              </w:rPr>
              <w:t xml:space="preserve">  Картографиране на норвежките разпоредби, които са от значение за енергийните общности, и очакваните промени, за да се съобразят с тях</w:t>
            </w:r>
            <w:r w:rsidR="00B169B8">
              <w:rPr>
                <w:noProof/>
                <w:webHidden/>
              </w:rPr>
              <w:tab/>
            </w:r>
            <w:r w:rsidR="00B169B8">
              <w:rPr>
                <w:noProof/>
                <w:webHidden/>
              </w:rPr>
              <w:fldChar w:fldCharType="begin"/>
            </w:r>
            <w:r w:rsidR="00B169B8">
              <w:rPr>
                <w:noProof/>
                <w:webHidden/>
              </w:rPr>
              <w:instrText xml:space="preserve"> PAGEREF _Toc203141269 \h </w:instrText>
            </w:r>
            <w:r w:rsidR="00B169B8">
              <w:rPr>
                <w:noProof/>
                <w:webHidden/>
              </w:rPr>
            </w:r>
            <w:r w:rsidR="00B169B8">
              <w:rPr>
                <w:noProof/>
                <w:webHidden/>
              </w:rPr>
              <w:fldChar w:fldCharType="separate"/>
            </w:r>
            <w:r w:rsidR="00B169B8">
              <w:rPr>
                <w:noProof/>
                <w:webHidden/>
              </w:rPr>
              <w:t>32</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70" w:history="1">
            <w:r w:rsidR="00B169B8" w:rsidRPr="00B92242">
              <w:rPr>
                <w:rStyle w:val="Hyperlink"/>
                <w:rFonts w:ascii="Times New Roman" w:hAnsi="Times New Roman" w:cs="Times New Roman"/>
                <w:noProof/>
              </w:rPr>
              <w:t xml:space="preserve">3.2.1 </w:t>
            </w:r>
            <w:r w:rsidR="00B169B8" w:rsidRPr="00B92242">
              <w:rPr>
                <w:rStyle w:val="Hyperlink"/>
                <w:rFonts w:ascii="Times New Roman" w:hAnsi="Times New Roman" w:cs="Times New Roman"/>
                <w:noProof/>
                <w:lang w:val="bg"/>
              </w:rPr>
              <w:t>Стимули за собствено потребление и споделяне на енергия</w:t>
            </w:r>
            <w:r w:rsidR="00B169B8">
              <w:rPr>
                <w:noProof/>
                <w:webHidden/>
              </w:rPr>
              <w:tab/>
            </w:r>
            <w:r w:rsidR="00B169B8">
              <w:rPr>
                <w:noProof/>
                <w:webHidden/>
              </w:rPr>
              <w:fldChar w:fldCharType="begin"/>
            </w:r>
            <w:r w:rsidR="00B169B8">
              <w:rPr>
                <w:noProof/>
                <w:webHidden/>
              </w:rPr>
              <w:instrText xml:space="preserve"> PAGEREF _Toc203141270 \h </w:instrText>
            </w:r>
            <w:r w:rsidR="00B169B8">
              <w:rPr>
                <w:noProof/>
                <w:webHidden/>
              </w:rPr>
            </w:r>
            <w:r w:rsidR="00B169B8">
              <w:rPr>
                <w:noProof/>
                <w:webHidden/>
              </w:rPr>
              <w:fldChar w:fldCharType="separate"/>
            </w:r>
            <w:r w:rsidR="00B169B8">
              <w:rPr>
                <w:noProof/>
                <w:webHidden/>
              </w:rPr>
              <w:t>34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1" w:history="1">
            <w:r w:rsidR="00B169B8" w:rsidRPr="00B92242">
              <w:rPr>
                <w:rStyle w:val="Hyperlink"/>
                <w:rFonts w:ascii="Times New Roman" w:hAnsi="Times New Roman" w:cs="Times New Roman"/>
                <w:noProof/>
                <w:lang w:val="bg"/>
              </w:rPr>
              <w:t>3.2.2</w:t>
            </w:r>
            <w:r w:rsidR="00B169B8">
              <w:rPr>
                <w:rFonts w:eastAsiaTheme="minorEastAsia"/>
                <w:noProof/>
              </w:rPr>
              <w:tab/>
            </w:r>
            <w:r w:rsidR="00B169B8" w:rsidRPr="00B92242">
              <w:rPr>
                <w:rStyle w:val="Hyperlink"/>
                <w:rFonts w:ascii="Times New Roman" w:hAnsi="Times New Roman" w:cs="Times New Roman"/>
                <w:noProof/>
                <w:lang w:val="bg"/>
              </w:rPr>
              <w:t>Отговорности и операции на операторите на разпределителни системи в Норвегия</w:t>
            </w:r>
            <w:r w:rsidR="00B169B8">
              <w:rPr>
                <w:noProof/>
                <w:webHidden/>
              </w:rPr>
              <w:tab/>
            </w:r>
            <w:r w:rsidR="00B169B8">
              <w:rPr>
                <w:noProof/>
                <w:webHidden/>
              </w:rPr>
              <w:fldChar w:fldCharType="begin"/>
            </w:r>
            <w:r w:rsidR="00B169B8">
              <w:rPr>
                <w:noProof/>
                <w:webHidden/>
              </w:rPr>
              <w:instrText xml:space="preserve"> PAGEREF _Toc203141271 \h </w:instrText>
            </w:r>
            <w:r w:rsidR="00B169B8">
              <w:rPr>
                <w:noProof/>
                <w:webHidden/>
              </w:rPr>
            </w:r>
            <w:r w:rsidR="00B169B8">
              <w:rPr>
                <w:noProof/>
                <w:webHidden/>
              </w:rPr>
              <w:fldChar w:fldCharType="separate"/>
            </w:r>
            <w:r w:rsidR="00B169B8">
              <w:rPr>
                <w:noProof/>
                <w:webHidden/>
              </w:rPr>
              <w:t>38</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2" w:history="1">
            <w:r w:rsidR="00B169B8" w:rsidRPr="00B92242">
              <w:rPr>
                <w:rStyle w:val="Hyperlink"/>
                <w:rFonts w:ascii="Times New Roman" w:hAnsi="Times New Roman" w:cs="Times New Roman"/>
                <w:noProof/>
                <w:lang w:val="bg"/>
              </w:rPr>
              <w:t>3.2.3</w:t>
            </w:r>
            <w:r w:rsidR="00B169B8">
              <w:rPr>
                <w:rFonts w:eastAsiaTheme="minorEastAsia"/>
                <w:noProof/>
              </w:rPr>
              <w:tab/>
            </w:r>
            <w:r w:rsidR="00B169B8" w:rsidRPr="00B92242">
              <w:rPr>
                <w:rStyle w:val="Hyperlink"/>
                <w:rFonts w:ascii="Times New Roman" w:hAnsi="Times New Roman" w:cs="Times New Roman"/>
                <w:noProof/>
                <w:lang w:val="bg"/>
              </w:rPr>
              <w:t>Регулаторна рамка за операторите на разпределителни системи</w:t>
            </w:r>
            <w:r w:rsidR="00B169B8">
              <w:rPr>
                <w:noProof/>
                <w:webHidden/>
              </w:rPr>
              <w:tab/>
            </w:r>
            <w:r w:rsidR="00B169B8">
              <w:rPr>
                <w:noProof/>
                <w:webHidden/>
              </w:rPr>
              <w:fldChar w:fldCharType="begin"/>
            </w:r>
            <w:r w:rsidR="00B169B8">
              <w:rPr>
                <w:noProof/>
                <w:webHidden/>
              </w:rPr>
              <w:instrText xml:space="preserve"> PAGEREF _Toc203141272 \h </w:instrText>
            </w:r>
            <w:r w:rsidR="00B169B8">
              <w:rPr>
                <w:noProof/>
                <w:webHidden/>
              </w:rPr>
            </w:r>
            <w:r w:rsidR="00B169B8">
              <w:rPr>
                <w:noProof/>
                <w:webHidden/>
              </w:rPr>
              <w:fldChar w:fldCharType="separate"/>
            </w:r>
            <w:r w:rsidR="00B169B8">
              <w:rPr>
                <w:noProof/>
                <w:webHidden/>
              </w:rPr>
              <w:t>40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3" w:history="1">
            <w:r w:rsidR="00B169B8" w:rsidRPr="00B92242">
              <w:rPr>
                <w:rStyle w:val="Hyperlink"/>
                <w:rFonts w:ascii="Times New Roman" w:hAnsi="Times New Roman" w:cs="Times New Roman"/>
                <w:noProof/>
                <w:lang w:val="bg"/>
              </w:rPr>
              <w:t>3.2.4</w:t>
            </w:r>
            <w:r w:rsidR="00B169B8">
              <w:rPr>
                <w:rFonts w:eastAsiaTheme="minorEastAsia"/>
                <w:noProof/>
              </w:rPr>
              <w:tab/>
            </w:r>
            <w:r w:rsidR="00B169B8" w:rsidRPr="00B92242">
              <w:rPr>
                <w:rStyle w:val="Hyperlink"/>
                <w:rFonts w:ascii="Times New Roman" w:hAnsi="Times New Roman" w:cs="Times New Roman"/>
                <w:noProof/>
                <w:lang w:val="bg"/>
              </w:rPr>
              <w:t>Таван на приходите</w:t>
            </w:r>
            <w:r w:rsidR="00B169B8">
              <w:rPr>
                <w:noProof/>
                <w:webHidden/>
              </w:rPr>
              <w:tab/>
            </w:r>
            <w:r w:rsidR="00B169B8">
              <w:rPr>
                <w:noProof/>
                <w:webHidden/>
              </w:rPr>
              <w:fldChar w:fldCharType="begin"/>
            </w:r>
            <w:r w:rsidR="00B169B8">
              <w:rPr>
                <w:noProof/>
                <w:webHidden/>
              </w:rPr>
              <w:instrText xml:space="preserve"> PAGEREF _Toc203141273 \h </w:instrText>
            </w:r>
            <w:r w:rsidR="00B169B8">
              <w:rPr>
                <w:noProof/>
                <w:webHidden/>
              </w:rPr>
            </w:r>
            <w:r w:rsidR="00B169B8">
              <w:rPr>
                <w:noProof/>
                <w:webHidden/>
              </w:rPr>
              <w:fldChar w:fldCharType="separate"/>
            </w:r>
            <w:r w:rsidR="00B169B8">
              <w:rPr>
                <w:noProof/>
                <w:webHidden/>
              </w:rPr>
              <w:t>41</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74" w:history="1">
            <w:r w:rsidR="00B169B8" w:rsidRPr="00B92242">
              <w:rPr>
                <w:rStyle w:val="Hyperlink"/>
                <w:rFonts w:ascii="Times New Roman" w:hAnsi="Times New Roman" w:cs="Times New Roman"/>
                <w:noProof/>
                <w:lang w:val="bg"/>
              </w:rPr>
              <w:t>3.2.5 Тарифи за мрежата</w:t>
            </w:r>
            <w:r w:rsidR="00B169B8">
              <w:rPr>
                <w:noProof/>
                <w:webHidden/>
              </w:rPr>
              <w:tab/>
            </w:r>
            <w:r w:rsidR="00B169B8">
              <w:rPr>
                <w:noProof/>
                <w:webHidden/>
              </w:rPr>
              <w:fldChar w:fldCharType="begin"/>
            </w:r>
            <w:r w:rsidR="00B169B8">
              <w:rPr>
                <w:noProof/>
                <w:webHidden/>
              </w:rPr>
              <w:instrText xml:space="preserve"> PAGEREF _Toc203141274 \h </w:instrText>
            </w:r>
            <w:r w:rsidR="00B169B8">
              <w:rPr>
                <w:noProof/>
                <w:webHidden/>
              </w:rPr>
            </w:r>
            <w:r w:rsidR="00B169B8">
              <w:rPr>
                <w:noProof/>
                <w:webHidden/>
              </w:rPr>
              <w:fldChar w:fldCharType="separate"/>
            </w:r>
            <w:r w:rsidR="00B169B8">
              <w:rPr>
                <w:noProof/>
                <w:webHidden/>
              </w:rPr>
              <w:t>42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5" w:history="1">
            <w:r w:rsidR="00B169B8" w:rsidRPr="00B92242">
              <w:rPr>
                <w:rStyle w:val="Hyperlink"/>
                <w:rFonts w:ascii="Times New Roman" w:hAnsi="Times New Roman" w:cs="Times New Roman"/>
                <w:noProof/>
                <w:lang w:val="bg"/>
              </w:rPr>
              <w:t>3.2.6</w:t>
            </w:r>
            <w:r w:rsidR="00B169B8">
              <w:rPr>
                <w:rFonts w:eastAsiaTheme="minorEastAsia"/>
                <w:noProof/>
              </w:rPr>
              <w:tab/>
            </w:r>
            <w:r w:rsidR="00B169B8" w:rsidRPr="00B92242">
              <w:rPr>
                <w:rStyle w:val="Hyperlink"/>
                <w:rFonts w:ascii="Times New Roman" w:hAnsi="Times New Roman" w:cs="Times New Roman"/>
                <w:noProof/>
                <w:lang w:val="bg"/>
              </w:rPr>
              <w:t>Процес на свързване към мрежата в Норвегия за големи проекти за потребление или производство</w:t>
            </w:r>
            <w:r w:rsidR="00B169B8">
              <w:rPr>
                <w:noProof/>
                <w:webHidden/>
              </w:rPr>
              <w:tab/>
            </w:r>
            <w:r w:rsidR="00B169B8">
              <w:rPr>
                <w:noProof/>
                <w:webHidden/>
              </w:rPr>
              <w:fldChar w:fldCharType="begin"/>
            </w:r>
            <w:r w:rsidR="00B169B8">
              <w:rPr>
                <w:noProof/>
                <w:webHidden/>
              </w:rPr>
              <w:instrText xml:space="preserve"> PAGEREF _Toc203141275 \h </w:instrText>
            </w:r>
            <w:r w:rsidR="00B169B8">
              <w:rPr>
                <w:noProof/>
                <w:webHidden/>
              </w:rPr>
            </w:r>
            <w:r w:rsidR="00B169B8">
              <w:rPr>
                <w:noProof/>
                <w:webHidden/>
              </w:rPr>
              <w:fldChar w:fldCharType="separate"/>
            </w:r>
            <w:r w:rsidR="00B169B8">
              <w:rPr>
                <w:noProof/>
                <w:webHidden/>
              </w:rPr>
              <w:t>43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6" w:history="1">
            <w:r w:rsidR="00B169B8" w:rsidRPr="00B92242">
              <w:rPr>
                <w:rStyle w:val="Hyperlink"/>
                <w:rFonts w:ascii="Times New Roman" w:hAnsi="Times New Roman" w:cs="Times New Roman"/>
                <w:noProof/>
                <w:lang w:val="bg"/>
              </w:rPr>
              <w:t>3.2.7</w:t>
            </w:r>
            <w:r w:rsidR="00B169B8">
              <w:rPr>
                <w:rFonts w:eastAsiaTheme="minorEastAsia"/>
                <w:noProof/>
              </w:rPr>
              <w:tab/>
            </w:r>
            <w:r w:rsidR="00B169B8" w:rsidRPr="00B92242">
              <w:rPr>
                <w:rStyle w:val="Hyperlink"/>
                <w:rFonts w:ascii="Times New Roman" w:hAnsi="Times New Roman" w:cs="Times New Roman"/>
                <w:noProof/>
                <w:lang w:val="bg"/>
              </w:rPr>
              <w:t>Опашка за капацитет</w:t>
            </w:r>
            <w:r w:rsidR="00B169B8">
              <w:rPr>
                <w:noProof/>
                <w:webHidden/>
              </w:rPr>
              <w:tab/>
            </w:r>
            <w:r w:rsidR="00B169B8">
              <w:rPr>
                <w:noProof/>
                <w:webHidden/>
              </w:rPr>
              <w:fldChar w:fldCharType="begin"/>
            </w:r>
            <w:r w:rsidR="00B169B8">
              <w:rPr>
                <w:noProof/>
                <w:webHidden/>
              </w:rPr>
              <w:instrText xml:space="preserve"> PAGEREF _Toc203141276 \h </w:instrText>
            </w:r>
            <w:r w:rsidR="00B169B8">
              <w:rPr>
                <w:noProof/>
                <w:webHidden/>
              </w:rPr>
            </w:r>
            <w:r w:rsidR="00B169B8">
              <w:rPr>
                <w:noProof/>
                <w:webHidden/>
              </w:rPr>
              <w:fldChar w:fldCharType="separate"/>
            </w:r>
            <w:r w:rsidR="00B169B8">
              <w:rPr>
                <w:noProof/>
                <w:webHidden/>
              </w:rPr>
              <w:t>45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77" w:history="1">
            <w:r w:rsidR="00B169B8" w:rsidRPr="00B92242">
              <w:rPr>
                <w:rStyle w:val="Hyperlink"/>
                <w:rFonts w:ascii="Times New Roman" w:hAnsi="Times New Roman" w:cs="Times New Roman"/>
                <w:noProof/>
                <w:lang w:val="bg"/>
              </w:rPr>
              <w:t>3.2.8</w:t>
            </w:r>
            <w:r w:rsidR="00B169B8">
              <w:rPr>
                <w:rFonts w:eastAsiaTheme="minorEastAsia"/>
                <w:noProof/>
              </w:rPr>
              <w:tab/>
            </w:r>
            <w:r w:rsidR="00B169B8" w:rsidRPr="00B92242">
              <w:rPr>
                <w:rStyle w:val="Hyperlink"/>
                <w:rFonts w:ascii="Times New Roman" w:hAnsi="Times New Roman" w:cs="Times New Roman"/>
                <w:noProof/>
                <w:lang w:val="bg"/>
              </w:rPr>
              <w:t>Местни пазари за гъвкавост</w:t>
            </w:r>
            <w:r w:rsidR="00B169B8">
              <w:rPr>
                <w:noProof/>
                <w:webHidden/>
              </w:rPr>
              <w:tab/>
            </w:r>
            <w:r w:rsidR="00B169B8">
              <w:rPr>
                <w:noProof/>
                <w:webHidden/>
              </w:rPr>
              <w:fldChar w:fldCharType="begin"/>
            </w:r>
            <w:r w:rsidR="00B169B8">
              <w:rPr>
                <w:noProof/>
                <w:webHidden/>
              </w:rPr>
              <w:instrText xml:space="preserve"> PAGEREF _Toc203141277 \h </w:instrText>
            </w:r>
            <w:r w:rsidR="00B169B8">
              <w:rPr>
                <w:noProof/>
                <w:webHidden/>
              </w:rPr>
            </w:r>
            <w:r w:rsidR="00B169B8">
              <w:rPr>
                <w:noProof/>
                <w:webHidden/>
              </w:rPr>
              <w:fldChar w:fldCharType="separate"/>
            </w:r>
            <w:r w:rsidR="00B169B8">
              <w:rPr>
                <w:noProof/>
                <w:webHidden/>
              </w:rPr>
              <w:t>46</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278" w:history="1">
            <w:r w:rsidR="00B169B8" w:rsidRPr="00B92242">
              <w:rPr>
                <w:rStyle w:val="Hyperlink"/>
                <w:rFonts w:ascii="Times New Roman" w:hAnsi="Times New Roman" w:cs="Times New Roman"/>
                <w:noProof/>
                <w:lang w:val="bg"/>
              </w:rPr>
              <w:t>3.3</w:t>
            </w:r>
            <w:r w:rsidR="00B169B8">
              <w:rPr>
                <w:rFonts w:eastAsiaTheme="minorEastAsia"/>
                <w:noProof/>
              </w:rPr>
              <w:tab/>
            </w:r>
            <w:r w:rsidR="00B169B8" w:rsidRPr="00B92242">
              <w:rPr>
                <w:rStyle w:val="Hyperlink"/>
                <w:rFonts w:ascii="Times New Roman" w:hAnsi="Times New Roman" w:cs="Times New Roman"/>
                <w:noProof/>
                <w:lang w:val="bg"/>
              </w:rPr>
              <w:t>Сравнителен анализ спрямо България, препоръки и пътна карта за изпълнение</w:t>
            </w:r>
            <w:r w:rsidR="00B169B8">
              <w:rPr>
                <w:noProof/>
                <w:webHidden/>
              </w:rPr>
              <w:tab/>
            </w:r>
            <w:r w:rsidR="00B169B8">
              <w:rPr>
                <w:noProof/>
                <w:webHidden/>
              </w:rPr>
              <w:fldChar w:fldCharType="begin"/>
            </w:r>
            <w:r w:rsidR="00B169B8">
              <w:rPr>
                <w:noProof/>
                <w:webHidden/>
              </w:rPr>
              <w:instrText xml:space="preserve"> PAGEREF _Toc203141278 \h </w:instrText>
            </w:r>
            <w:r w:rsidR="00B169B8">
              <w:rPr>
                <w:noProof/>
                <w:webHidden/>
              </w:rPr>
            </w:r>
            <w:r w:rsidR="00B169B8">
              <w:rPr>
                <w:noProof/>
                <w:webHidden/>
              </w:rPr>
              <w:fldChar w:fldCharType="separate"/>
            </w:r>
            <w:r w:rsidR="00B169B8">
              <w:rPr>
                <w:noProof/>
                <w:webHidden/>
              </w:rPr>
              <w:t>47</w:t>
            </w:r>
            <w:r w:rsidR="00B169B8">
              <w:rPr>
                <w:noProof/>
                <w:webHidden/>
              </w:rPr>
              <w:fldChar w:fldCharType="end"/>
            </w:r>
          </w:hyperlink>
        </w:p>
        <w:p w:rsidR="00B169B8" w:rsidRDefault="00567EA3">
          <w:pPr>
            <w:pStyle w:val="TOC1"/>
            <w:tabs>
              <w:tab w:val="left" w:pos="440"/>
              <w:tab w:val="right" w:leader="dot" w:pos="9367"/>
            </w:tabs>
            <w:rPr>
              <w:rFonts w:eastAsiaTheme="minorEastAsia"/>
              <w:noProof/>
            </w:rPr>
          </w:pPr>
          <w:hyperlink w:anchor="_Toc203141279" w:history="1">
            <w:r w:rsidR="00B169B8" w:rsidRPr="00B92242">
              <w:rPr>
                <w:rStyle w:val="Hyperlink"/>
                <w:rFonts w:ascii="Times New Roman" w:hAnsi="Times New Roman" w:cs="Times New Roman"/>
                <w:noProof/>
                <w:lang w:val="bg"/>
              </w:rPr>
              <w:t>4</w:t>
            </w:r>
            <w:r w:rsidR="00B169B8">
              <w:rPr>
                <w:rFonts w:eastAsiaTheme="minorEastAsia"/>
                <w:noProof/>
              </w:rPr>
              <w:tab/>
            </w:r>
            <w:r w:rsidR="00B169B8" w:rsidRPr="00B92242">
              <w:rPr>
                <w:rStyle w:val="Hyperlink"/>
                <w:rFonts w:ascii="Times New Roman" w:hAnsi="Times New Roman" w:cs="Times New Roman"/>
                <w:noProof/>
                <w:lang w:val="bg"/>
              </w:rPr>
              <w:t>Технически спецификации</w:t>
            </w:r>
            <w:r w:rsidR="00B169B8">
              <w:rPr>
                <w:noProof/>
                <w:webHidden/>
              </w:rPr>
              <w:tab/>
            </w:r>
            <w:r w:rsidR="00B169B8">
              <w:rPr>
                <w:noProof/>
                <w:webHidden/>
              </w:rPr>
              <w:fldChar w:fldCharType="begin"/>
            </w:r>
            <w:r w:rsidR="00B169B8">
              <w:rPr>
                <w:noProof/>
                <w:webHidden/>
              </w:rPr>
              <w:instrText xml:space="preserve"> PAGEREF _Toc203141279 \h </w:instrText>
            </w:r>
            <w:r w:rsidR="00B169B8">
              <w:rPr>
                <w:noProof/>
                <w:webHidden/>
              </w:rPr>
            </w:r>
            <w:r w:rsidR="00B169B8">
              <w:rPr>
                <w:noProof/>
                <w:webHidden/>
              </w:rPr>
              <w:fldChar w:fldCharType="separate"/>
            </w:r>
            <w:r w:rsidR="00B169B8">
              <w:rPr>
                <w:noProof/>
                <w:webHidden/>
              </w:rPr>
              <w:t>49</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280" w:history="1">
            <w:r w:rsidR="00B169B8" w:rsidRPr="00B92242">
              <w:rPr>
                <w:rStyle w:val="Hyperlink"/>
                <w:rFonts w:ascii="Times New Roman" w:hAnsi="Times New Roman" w:cs="Times New Roman"/>
                <w:noProof/>
                <w:lang w:val="bg"/>
              </w:rPr>
              <w:t>4.1</w:t>
            </w:r>
            <w:r w:rsidR="00B169B8">
              <w:rPr>
                <w:rFonts w:eastAsiaTheme="minorEastAsia"/>
                <w:noProof/>
              </w:rPr>
              <w:tab/>
            </w:r>
            <w:r w:rsidR="00B169B8" w:rsidRPr="00B92242">
              <w:rPr>
                <w:rStyle w:val="Hyperlink"/>
                <w:rFonts w:ascii="Times New Roman" w:hAnsi="Times New Roman" w:cs="Times New Roman"/>
                <w:noProof/>
                <w:lang w:val="bg"/>
              </w:rPr>
              <w:t>Технологичен статус в България</w:t>
            </w:r>
            <w:r w:rsidR="00B169B8">
              <w:rPr>
                <w:noProof/>
                <w:webHidden/>
              </w:rPr>
              <w:tab/>
            </w:r>
            <w:r w:rsidR="00B169B8">
              <w:rPr>
                <w:noProof/>
                <w:webHidden/>
              </w:rPr>
              <w:fldChar w:fldCharType="begin"/>
            </w:r>
            <w:r w:rsidR="00B169B8">
              <w:rPr>
                <w:noProof/>
                <w:webHidden/>
              </w:rPr>
              <w:instrText xml:space="preserve"> PAGEREF _Toc203141280 \h </w:instrText>
            </w:r>
            <w:r w:rsidR="00B169B8">
              <w:rPr>
                <w:noProof/>
                <w:webHidden/>
              </w:rPr>
            </w:r>
            <w:r w:rsidR="00B169B8">
              <w:rPr>
                <w:noProof/>
                <w:webHidden/>
              </w:rPr>
              <w:fldChar w:fldCharType="separate"/>
            </w:r>
            <w:r w:rsidR="00B169B8">
              <w:rPr>
                <w:noProof/>
                <w:webHidden/>
              </w:rPr>
              <w:t>49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1" w:history="1">
            <w:r w:rsidR="00B169B8" w:rsidRPr="00B92242">
              <w:rPr>
                <w:rStyle w:val="Hyperlink"/>
                <w:rFonts w:ascii="Times New Roman" w:hAnsi="Times New Roman" w:cs="Times New Roman"/>
                <w:noProof/>
                <w:lang w:val="bg"/>
              </w:rPr>
              <w:t>4.1.1</w:t>
            </w:r>
            <w:r w:rsidR="00B169B8">
              <w:rPr>
                <w:rFonts w:eastAsiaTheme="minorEastAsia"/>
                <w:noProof/>
              </w:rPr>
              <w:tab/>
            </w:r>
            <w:r w:rsidR="00B169B8" w:rsidRPr="00B92242">
              <w:rPr>
                <w:rStyle w:val="Hyperlink"/>
                <w:rFonts w:ascii="Times New Roman" w:hAnsi="Times New Roman" w:cs="Times New Roman"/>
                <w:noProof/>
                <w:lang w:val="bg"/>
              </w:rPr>
              <w:t>Измерване на енергията и отчитане на производството и потреблението</w:t>
            </w:r>
            <w:r w:rsidR="00B169B8">
              <w:rPr>
                <w:noProof/>
                <w:webHidden/>
              </w:rPr>
              <w:tab/>
            </w:r>
            <w:r w:rsidR="00B169B8">
              <w:rPr>
                <w:noProof/>
                <w:webHidden/>
              </w:rPr>
              <w:fldChar w:fldCharType="begin"/>
            </w:r>
            <w:r w:rsidR="00B169B8">
              <w:rPr>
                <w:noProof/>
                <w:webHidden/>
              </w:rPr>
              <w:instrText xml:space="preserve"> PAGEREF _Toc203141281 \h </w:instrText>
            </w:r>
            <w:r w:rsidR="00B169B8">
              <w:rPr>
                <w:noProof/>
                <w:webHidden/>
              </w:rPr>
            </w:r>
            <w:r w:rsidR="00B169B8">
              <w:rPr>
                <w:noProof/>
                <w:webHidden/>
              </w:rPr>
              <w:fldChar w:fldCharType="separate"/>
            </w:r>
            <w:r w:rsidR="00B169B8">
              <w:rPr>
                <w:noProof/>
                <w:webHidden/>
              </w:rPr>
              <w:t>49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2" w:history="1">
            <w:r w:rsidR="00B169B8" w:rsidRPr="00B92242">
              <w:rPr>
                <w:rStyle w:val="Hyperlink"/>
                <w:rFonts w:ascii="Times New Roman" w:hAnsi="Times New Roman" w:cs="Times New Roman"/>
                <w:noProof/>
                <w:lang w:val="bg"/>
              </w:rPr>
              <w:t>4.1.2</w:t>
            </w:r>
            <w:r w:rsidR="00B169B8">
              <w:rPr>
                <w:rFonts w:eastAsiaTheme="minorEastAsia"/>
                <w:noProof/>
              </w:rPr>
              <w:tab/>
            </w:r>
            <w:r w:rsidR="00B169B8" w:rsidRPr="00B92242">
              <w:rPr>
                <w:rStyle w:val="Hyperlink"/>
                <w:rFonts w:ascii="Times New Roman" w:hAnsi="Times New Roman" w:cs="Times New Roman"/>
                <w:noProof/>
                <w:lang w:val="bg"/>
              </w:rPr>
              <w:t>Проникване на интелигентното измерване в България</w:t>
            </w:r>
            <w:r w:rsidR="00B169B8">
              <w:rPr>
                <w:noProof/>
                <w:webHidden/>
              </w:rPr>
              <w:tab/>
            </w:r>
            <w:r w:rsidR="00B169B8">
              <w:rPr>
                <w:noProof/>
                <w:webHidden/>
              </w:rPr>
              <w:fldChar w:fldCharType="begin"/>
            </w:r>
            <w:r w:rsidR="00B169B8">
              <w:rPr>
                <w:noProof/>
                <w:webHidden/>
              </w:rPr>
              <w:instrText xml:space="preserve"> PAGEREF _Toc203141282 \h </w:instrText>
            </w:r>
            <w:r w:rsidR="00B169B8">
              <w:rPr>
                <w:noProof/>
                <w:webHidden/>
              </w:rPr>
            </w:r>
            <w:r w:rsidR="00B169B8">
              <w:rPr>
                <w:noProof/>
                <w:webHidden/>
              </w:rPr>
              <w:fldChar w:fldCharType="separate"/>
            </w:r>
            <w:r w:rsidR="00B169B8">
              <w:rPr>
                <w:noProof/>
                <w:webHidden/>
              </w:rPr>
              <w:t>50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3" w:history="1">
            <w:r w:rsidR="00B169B8" w:rsidRPr="00B92242">
              <w:rPr>
                <w:rStyle w:val="Hyperlink"/>
                <w:rFonts w:ascii="Times New Roman" w:hAnsi="Times New Roman" w:cs="Times New Roman"/>
                <w:noProof/>
                <w:lang w:val="bg"/>
              </w:rPr>
              <w:t>4.1.3</w:t>
            </w:r>
            <w:r w:rsidR="00B169B8">
              <w:rPr>
                <w:rFonts w:eastAsiaTheme="minorEastAsia"/>
                <w:noProof/>
              </w:rPr>
              <w:tab/>
            </w:r>
            <w:r w:rsidR="00B169B8" w:rsidRPr="00B92242">
              <w:rPr>
                <w:rStyle w:val="Hyperlink"/>
                <w:rFonts w:ascii="Times New Roman" w:hAnsi="Times New Roman" w:cs="Times New Roman"/>
                <w:noProof/>
                <w:lang w:val="bg"/>
              </w:rPr>
              <w:t>Регулации за обмен на енергийни данни и достъп до тях</w:t>
            </w:r>
            <w:r w:rsidR="00B169B8">
              <w:rPr>
                <w:noProof/>
                <w:webHidden/>
              </w:rPr>
              <w:tab/>
            </w:r>
            <w:r w:rsidR="00B169B8">
              <w:rPr>
                <w:noProof/>
                <w:webHidden/>
              </w:rPr>
              <w:fldChar w:fldCharType="begin"/>
            </w:r>
            <w:r w:rsidR="00B169B8">
              <w:rPr>
                <w:noProof/>
                <w:webHidden/>
              </w:rPr>
              <w:instrText xml:space="preserve"> PAGEREF _Toc203141283 \h </w:instrText>
            </w:r>
            <w:r w:rsidR="00B169B8">
              <w:rPr>
                <w:noProof/>
                <w:webHidden/>
              </w:rPr>
            </w:r>
            <w:r w:rsidR="00B169B8">
              <w:rPr>
                <w:noProof/>
                <w:webHidden/>
              </w:rPr>
              <w:fldChar w:fldCharType="separate"/>
            </w:r>
            <w:r w:rsidR="00B169B8">
              <w:rPr>
                <w:noProof/>
                <w:webHidden/>
              </w:rPr>
              <w:t>50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4" w:history="1">
            <w:r w:rsidR="00B169B8" w:rsidRPr="00B92242">
              <w:rPr>
                <w:rStyle w:val="Hyperlink"/>
                <w:rFonts w:ascii="Times New Roman" w:hAnsi="Times New Roman" w:cs="Times New Roman"/>
                <w:noProof/>
                <w:lang w:val="bg"/>
              </w:rPr>
              <w:t>4.1.4</w:t>
            </w:r>
            <w:r w:rsidR="00B169B8">
              <w:rPr>
                <w:rFonts w:eastAsiaTheme="minorEastAsia"/>
                <w:noProof/>
              </w:rPr>
              <w:tab/>
            </w:r>
            <w:r w:rsidR="00B169B8" w:rsidRPr="00B92242">
              <w:rPr>
                <w:rStyle w:val="Hyperlink"/>
                <w:rFonts w:ascii="Times New Roman" w:hAnsi="Times New Roman" w:cs="Times New Roman"/>
                <w:noProof/>
                <w:lang w:val="bg"/>
              </w:rPr>
              <w:t>Предложение за използване на интелигентни измервателни уреди и динамично ценообразуване в България</w:t>
            </w:r>
            <w:r w:rsidR="00B169B8">
              <w:rPr>
                <w:noProof/>
                <w:webHidden/>
              </w:rPr>
              <w:tab/>
            </w:r>
            <w:r w:rsidR="00B169B8">
              <w:rPr>
                <w:noProof/>
                <w:webHidden/>
              </w:rPr>
              <w:fldChar w:fldCharType="begin"/>
            </w:r>
            <w:r w:rsidR="00B169B8">
              <w:rPr>
                <w:noProof/>
                <w:webHidden/>
              </w:rPr>
              <w:instrText xml:space="preserve"> PAGEREF _Toc203141284 \h </w:instrText>
            </w:r>
            <w:r w:rsidR="00B169B8">
              <w:rPr>
                <w:noProof/>
                <w:webHidden/>
              </w:rPr>
            </w:r>
            <w:r w:rsidR="00B169B8">
              <w:rPr>
                <w:noProof/>
                <w:webHidden/>
              </w:rPr>
              <w:fldChar w:fldCharType="separate"/>
            </w:r>
            <w:r w:rsidR="00B169B8">
              <w:rPr>
                <w:noProof/>
                <w:webHidden/>
              </w:rPr>
              <w:t>51</w:t>
            </w:r>
            <w:r w:rsidR="00B169B8">
              <w:rPr>
                <w:noProof/>
                <w:webHidden/>
              </w:rPr>
              <w:fldChar w:fldCharType="end"/>
            </w:r>
          </w:hyperlink>
        </w:p>
        <w:p w:rsidR="00B169B8" w:rsidRDefault="00567EA3">
          <w:pPr>
            <w:pStyle w:val="TOC1"/>
            <w:tabs>
              <w:tab w:val="left" w:pos="660"/>
              <w:tab w:val="right" w:leader="dot" w:pos="9367"/>
            </w:tabs>
            <w:rPr>
              <w:rFonts w:eastAsiaTheme="minorEastAsia"/>
              <w:noProof/>
            </w:rPr>
          </w:pPr>
          <w:hyperlink w:anchor="_Toc203141285" w:history="1">
            <w:r w:rsidR="00B169B8" w:rsidRPr="00B92242">
              <w:rPr>
                <w:rStyle w:val="Hyperlink"/>
                <w:rFonts w:ascii="Times New Roman" w:hAnsi="Times New Roman" w:cs="Times New Roman"/>
                <w:noProof/>
                <w:lang w:val="bg"/>
              </w:rPr>
              <w:t>4.2</w:t>
            </w:r>
            <w:r w:rsidR="00B169B8">
              <w:rPr>
                <w:rFonts w:eastAsiaTheme="minorEastAsia"/>
                <w:noProof/>
              </w:rPr>
              <w:tab/>
            </w:r>
            <w:r w:rsidR="00B169B8" w:rsidRPr="00B92242">
              <w:rPr>
                <w:rStyle w:val="Hyperlink"/>
                <w:rFonts w:ascii="Times New Roman" w:hAnsi="Times New Roman" w:cs="Times New Roman"/>
                <w:noProof/>
                <w:lang w:val="bg"/>
              </w:rPr>
              <w:t>Технологичен статус в Норвегия</w:t>
            </w:r>
            <w:r w:rsidR="00B169B8">
              <w:rPr>
                <w:noProof/>
                <w:webHidden/>
              </w:rPr>
              <w:tab/>
            </w:r>
            <w:r w:rsidR="00B169B8">
              <w:rPr>
                <w:noProof/>
                <w:webHidden/>
              </w:rPr>
              <w:fldChar w:fldCharType="begin"/>
            </w:r>
            <w:r w:rsidR="00B169B8">
              <w:rPr>
                <w:noProof/>
                <w:webHidden/>
              </w:rPr>
              <w:instrText xml:space="preserve"> PAGEREF _Toc203141285 \h </w:instrText>
            </w:r>
            <w:r w:rsidR="00B169B8">
              <w:rPr>
                <w:noProof/>
                <w:webHidden/>
              </w:rPr>
            </w:r>
            <w:r w:rsidR="00B169B8">
              <w:rPr>
                <w:noProof/>
                <w:webHidden/>
              </w:rPr>
              <w:fldChar w:fldCharType="separate"/>
            </w:r>
            <w:r w:rsidR="00B169B8">
              <w:rPr>
                <w:noProof/>
                <w:webHidden/>
              </w:rPr>
              <w:t>54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6" w:history="1">
            <w:r w:rsidR="00B169B8" w:rsidRPr="00B92242">
              <w:rPr>
                <w:rStyle w:val="Hyperlink"/>
                <w:rFonts w:ascii="Times New Roman" w:hAnsi="Times New Roman" w:cs="Times New Roman"/>
                <w:noProof/>
                <w:lang w:val="bg"/>
              </w:rPr>
              <w:t>4.2.1</w:t>
            </w:r>
            <w:r w:rsidR="00B169B8">
              <w:rPr>
                <w:rFonts w:eastAsiaTheme="minorEastAsia"/>
                <w:noProof/>
              </w:rPr>
              <w:tab/>
            </w:r>
            <w:r w:rsidR="00B169B8" w:rsidRPr="00B92242">
              <w:rPr>
                <w:rStyle w:val="Hyperlink"/>
                <w:rFonts w:ascii="Times New Roman" w:hAnsi="Times New Roman" w:cs="Times New Roman"/>
                <w:noProof/>
                <w:lang w:val="bg"/>
              </w:rPr>
              <w:t>Преглед на дейността на Elhub</w:t>
            </w:r>
            <w:r w:rsidR="00B169B8">
              <w:rPr>
                <w:noProof/>
                <w:webHidden/>
              </w:rPr>
              <w:tab/>
            </w:r>
            <w:r w:rsidR="00B169B8">
              <w:rPr>
                <w:noProof/>
                <w:webHidden/>
              </w:rPr>
              <w:fldChar w:fldCharType="begin"/>
            </w:r>
            <w:r w:rsidR="00B169B8">
              <w:rPr>
                <w:noProof/>
                <w:webHidden/>
              </w:rPr>
              <w:instrText xml:space="preserve"> PAGEREF _Toc203141286 \h </w:instrText>
            </w:r>
            <w:r w:rsidR="00B169B8">
              <w:rPr>
                <w:noProof/>
                <w:webHidden/>
              </w:rPr>
            </w:r>
            <w:r w:rsidR="00B169B8">
              <w:rPr>
                <w:noProof/>
                <w:webHidden/>
              </w:rPr>
              <w:fldChar w:fldCharType="separate"/>
            </w:r>
            <w:r w:rsidR="00B169B8">
              <w:rPr>
                <w:noProof/>
                <w:webHidden/>
              </w:rPr>
              <w:t>54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7" w:history="1">
            <w:r w:rsidR="00B169B8" w:rsidRPr="00B92242">
              <w:rPr>
                <w:rStyle w:val="Hyperlink"/>
                <w:rFonts w:ascii="Times New Roman" w:hAnsi="Times New Roman" w:cs="Times New Roman"/>
                <w:noProof/>
                <w:lang w:val="bg"/>
              </w:rPr>
              <w:t>4.2.2</w:t>
            </w:r>
            <w:r w:rsidR="00B169B8">
              <w:rPr>
                <w:rFonts w:eastAsiaTheme="minorEastAsia"/>
                <w:noProof/>
              </w:rPr>
              <w:tab/>
            </w:r>
            <w:r w:rsidR="00B169B8" w:rsidRPr="00B92242">
              <w:rPr>
                <w:rStyle w:val="Hyperlink"/>
                <w:rFonts w:ascii="Times New Roman" w:hAnsi="Times New Roman" w:cs="Times New Roman"/>
                <w:noProof/>
                <w:lang w:val="bg"/>
              </w:rPr>
              <w:t>Бизнес процеси, поддържани от Elhub</w:t>
            </w:r>
            <w:r w:rsidR="00B169B8">
              <w:rPr>
                <w:noProof/>
                <w:webHidden/>
              </w:rPr>
              <w:tab/>
            </w:r>
            <w:r w:rsidR="00B169B8">
              <w:rPr>
                <w:noProof/>
                <w:webHidden/>
              </w:rPr>
              <w:fldChar w:fldCharType="begin"/>
            </w:r>
            <w:r w:rsidR="00B169B8">
              <w:rPr>
                <w:noProof/>
                <w:webHidden/>
              </w:rPr>
              <w:instrText xml:space="preserve"> PAGEREF _Toc203141287 \h </w:instrText>
            </w:r>
            <w:r w:rsidR="00B169B8">
              <w:rPr>
                <w:noProof/>
                <w:webHidden/>
              </w:rPr>
            </w:r>
            <w:r w:rsidR="00B169B8">
              <w:rPr>
                <w:noProof/>
                <w:webHidden/>
              </w:rPr>
              <w:fldChar w:fldCharType="separate"/>
            </w:r>
            <w:r w:rsidR="00B169B8">
              <w:rPr>
                <w:noProof/>
                <w:webHidden/>
              </w:rPr>
              <w:t>55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8" w:history="1">
            <w:r w:rsidR="00B169B8" w:rsidRPr="00B92242">
              <w:rPr>
                <w:rStyle w:val="Hyperlink"/>
                <w:rFonts w:ascii="Times New Roman" w:hAnsi="Times New Roman" w:cs="Times New Roman"/>
                <w:noProof/>
                <w:lang w:val="bg"/>
              </w:rPr>
              <w:t>4.2.3</w:t>
            </w:r>
            <w:r w:rsidR="00B169B8">
              <w:rPr>
                <w:rFonts w:eastAsiaTheme="minorEastAsia"/>
                <w:noProof/>
              </w:rPr>
              <w:tab/>
            </w:r>
            <w:r w:rsidR="00B169B8" w:rsidRPr="00B92242">
              <w:rPr>
                <w:rStyle w:val="Hyperlink"/>
                <w:rFonts w:ascii="Times New Roman" w:hAnsi="Times New Roman" w:cs="Times New Roman"/>
                <w:noProof/>
                <w:lang w:val="bg"/>
              </w:rPr>
              <w:t>Събиране на показанията на измервателните уреди</w:t>
            </w:r>
            <w:r w:rsidR="00B169B8">
              <w:rPr>
                <w:noProof/>
                <w:webHidden/>
              </w:rPr>
              <w:tab/>
            </w:r>
            <w:r w:rsidR="00B169B8">
              <w:rPr>
                <w:noProof/>
                <w:webHidden/>
              </w:rPr>
              <w:fldChar w:fldCharType="begin"/>
            </w:r>
            <w:r w:rsidR="00B169B8">
              <w:rPr>
                <w:noProof/>
                <w:webHidden/>
              </w:rPr>
              <w:instrText xml:space="preserve"> PAGEREF _Toc203141288 \h </w:instrText>
            </w:r>
            <w:r w:rsidR="00B169B8">
              <w:rPr>
                <w:noProof/>
                <w:webHidden/>
              </w:rPr>
            </w:r>
            <w:r w:rsidR="00B169B8">
              <w:rPr>
                <w:noProof/>
                <w:webHidden/>
              </w:rPr>
              <w:fldChar w:fldCharType="separate"/>
            </w:r>
            <w:r w:rsidR="00B169B8">
              <w:rPr>
                <w:noProof/>
                <w:webHidden/>
              </w:rPr>
              <w:t>56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89" w:history="1">
            <w:r w:rsidR="00B169B8" w:rsidRPr="00B92242">
              <w:rPr>
                <w:rStyle w:val="Hyperlink"/>
                <w:rFonts w:ascii="Times New Roman" w:hAnsi="Times New Roman" w:cs="Times New Roman"/>
                <w:noProof/>
                <w:lang w:val="bg"/>
              </w:rPr>
              <w:t>4.2.4</w:t>
            </w:r>
            <w:r w:rsidR="00B169B8">
              <w:rPr>
                <w:rFonts w:eastAsiaTheme="minorEastAsia"/>
                <w:noProof/>
              </w:rPr>
              <w:tab/>
            </w:r>
            <w:r w:rsidR="00B169B8" w:rsidRPr="00B92242">
              <w:rPr>
                <w:rStyle w:val="Hyperlink"/>
                <w:rFonts w:ascii="Times New Roman" w:hAnsi="Times New Roman" w:cs="Times New Roman"/>
                <w:noProof/>
                <w:lang w:val="bg"/>
              </w:rPr>
              <w:t>Валидиране на показанията на измервателните уреди</w:t>
            </w:r>
            <w:r w:rsidR="00B169B8">
              <w:rPr>
                <w:noProof/>
                <w:webHidden/>
              </w:rPr>
              <w:tab/>
            </w:r>
            <w:r w:rsidR="00B169B8">
              <w:rPr>
                <w:noProof/>
                <w:webHidden/>
              </w:rPr>
              <w:fldChar w:fldCharType="begin"/>
            </w:r>
            <w:r w:rsidR="00B169B8">
              <w:rPr>
                <w:noProof/>
                <w:webHidden/>
              </w:rPr>
              <w:instrText xml:space="preserve"> PAGEREF _Toc203141289 \h </w:instrText>
            </w:r>
            <w:r w:rsidR="00B169B8">
              <w:rPr>
                <w:noProof/>
                <w:webHidden/>
              </w:rPr>
            </w:r>
            <w:r w:rsidR="00B169B8">
              <w:rPr>
                <w:noProof/>
                <w:webHidden/>
              </w:rPr>
              <w:fldChar w:fldCharType="separate"/>
            </w:r>
            <w:r w:rsidR="00B169B8">
              <w:rPr>
                <w:noProof/>
                <w:webHidden/>
              </w:rPr>
              <w:t>57</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90" w:history="1">
            <w:r w:rsidR="00B169B8" w:rsidRPr="00B92242">
              <w:rPr>
                <w:rStyle w:val="Hyperlink"/>
                <w:rFonts w:ascii="Times New Roman" w:hAnsi="Times New Roman" w:cs="Times New Roman"/>
                <w:noProof/>
                <w:lang w:val="bg"/>
              </w:rPr>
              <w:t>4.3.1</w:t>
            </w:r>
            <w:r w:rsidR="00B169B8">
              <w:rPr>
                <w:rFonts w:eastAsiaTheme="minorEastAsia"/>
                <w:noProof/>
              </w:rPr>
              <w:tab/>
            </w:r>
            <w:r w:rsidR="00B169B8" w:rsidRPr="00B92242">
              <w:rPr>
                <w:rStyle w:val="Hyperlink"/>
                <w:rFonts w:ascii="Times New Roman" w:hAnsi="Times New Roman" w:cs="Times New Roman"/>
                <w:noProof/>
                <w:lang w:val="bg"/>
              </w:rPr>
              <w:t>Потребление на електроенергия от различни оператори на разпределителни системи чрез търговец/агрегатор на енергия в България</w:t>
            </w:r>
            <w:r w:rsidR="00B169B8">
              <w:rPr>
                <w:noProof/>
                <w:webHidden/>
              </w:rPr>
              <w:tab/>
            </w:r>
            <w:r w:rsidR="00B169B8">
              <w:rPr>
                <w:noProof/>
                <w:webHidden/>
              </w:rPr>
              <w:fldChar w:fldCharType="begin"/>
            </w:r>
            <w:r w:rsidR="00B169B8">
              <w:rPr>
                <w:noProof/>
                <w:webHidden/>
              </w:rPr>
              <w:instrText xml:space="preserve"> PAGEREF _Toc203141290 \h </w:instrText>
            </w:r>
            <w:r w:rsidR="00B169B8">
              <w:rPr>
                <w:noProof/>
                <w:webHidden/>
              </w:rPr>
            </w:r>
            <w:r w:rsidR="00B169B8">
              <w:rPr>
                <w:noProof/>
                <w:webHidden/>
              </w:rPr>
              <w:fldChar w:fldCharType="separate"/>
            </w:r>
            <w:r w:rsidR="00B169B8">
              <w:rPr>
                <w:noProof/>
                <w:webHidden/>
              </w:rPr>
              <w:t>61</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91" w:history="1">
            <w:r w:rsidR="00B169B8" w:rsidRPr="00B92242">
              <w:rPr>
                <w:rStyle w:val="Hyperlink"/>
                <w:rFonts w:ascii="Times New Roman" w:hAnsi="Times New Roman" w:cs="Times New Roman"/>
                <w:noProof/>
                <w:lang w:val="bg"/>
              </w:rPr>
              <w:t>4.3.2</w:t>
            </w:r>
            <w:r w:rsidR="00B169B8">
              <w:rPr>
                <w:rFonts w:eastAsiaTheme="minorEastAsia"/>
                <w:noProof/>
              </w:rPr>
              <w:tab/>
            </w:r>
            <w:r w:rsidR="00B169B8" w:rsidRPr="00B92242">
              <w:rPr>
                <w:rStyle w:val="Hyperlink"/>
                <w:rFonts w:ascii="Times New Roman" w:hAnsi="Times New Roman" w:cs="Times New Roman"/>
                <w:noProof/>
                <w:lang w:val="bg"/>
              </w:rPr>
              <w:t>Промяна на търговеца на енергия: Как трябва да работи достъпът до данни.</w:t>
            </w:r>
            <w:r w:rsidR="00B169B8">
              <w:rPr>
                <w:noProof/>
                <w:webHidden/>
              </w:rPr>
              <w:tab/>
            </w:r>
            <w:r w:rsidR="00B169B8">
              <w:rPr>
                <w:noProof/>
                <w:webHidden/>
              </w:rPr>
              <w:fldChar w:fldCharType="begin"/>
            </w:r>
            <w:r w:rsidR="00B169B8">
              <w:rPr>
                <w:noProof/>
                <w:webHidden/>
              </w:rPr>
              <w:instrText xml:space="preserve"> PAGEREF _Toc203141291 \h </w:instrText>
            </w:r>
            <w:r w:rsidR="00B169B8">
              <w:rPr>
                <w:noProof/>
                <w:webHidden/>
              </w:rPr>
            </w:r>
            <w:r w:rsidR="00B169B8">
              <w:rPr>
                <w:noProof/>
                <w:webHidden/>
              </w:rPr>
              <w:fldChar w:fldCharType="separate"/>
            </w:r>
            <w:r w:rsidR="00B169B8">
              <w:rPr>
                <w:noProof/>
                <w:webHidden/>
              </w:rPr>
              <w:t>63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292" w:history="1">
            <w:r w:rsidR="00B169B8" w:rsidRPr="00B92242">
              <w:rPr>
                <w:rStyle w:val="Hyperlink"/>
                <w:rFonts w:ascii="Times New Roman" w:hAnsi="Times New Roman" w:cs="Times New Roman"/>
                <w:noProof/>
                <w:lang w:val="bg"/>
              </w:rPr>
              <w:t>4.3.3</w:t>
            </w:r>
            <w:r w:rsidR="00B169B8">
              <w:rPr>
                <w:rFonts w:eastAsiaTheme="minorEastAsia"/>
                <w:noProof/>
              </w:rPr>
              <w:tab/>
            </w:r>
            <w:r w:rsidR="00B169B8" w:rsidRPr="00B92242">
              <w:rPr>
                <w:rStyle w:val="Hyperlink"/>
                <w:rFonts w:ascii="Times New Roman" w:hAnsi="Times New Roman" w:cs="Times New Roman"/>
                <w:noProof/>
                <w:lang w:val="bg"/>
              </w:rPr>
              <w:t>Спецификация на необходимата платформа</w:t>
            </w:r>
            <w:r w:rsidR="00B169B8">
              <w:rPr>
                <w:noProof/>
                <w:webHidden/>
              </w:rPr>
              <w:tab/>
            </w:r>
            <w:r w:rsidR="00B169B8">
              <w:rPr>
                <w:noProof/>
                <w:webHidden/>
              </w:rPr>
              <w:fldChar w:fldCharType="begin"/>
            </w:r>
            <w:r w:rsidR="00B169B8">
              <w:rPr>
                <w:noProof/>
                <w:webHidden/>
              </w:rPr>
              <w:instrText xml:space="preserve"> PAGEREF _Toc203141292 \h </w:instrText>
            </w:r>
            <w:r w:rsidR="00B169B8">
              <w:rPr>
                <w:noProof/>
                <w:webHidden/>
              </w:rPr>
            </w:r>
            <w:r w:rsidR="00B169B8">
              <w:rPr>
                <w:noProof/>
                <w:webHidden/>
              </w:rPr>
              <w:fldChar w:fldCharType="separate"/>
            </w:r>
            <w:r w:rsidR="00B169B8">
              <w:rPr>
                <w:noProof/>
                <w:webHidden/>
              </w:rPr>
              <w:t>63</w:t>
            </w:r>
            <w:r w:rsidR="00B169B8">
              <w:rPr>
                <w:noProof/>
                <w:webHidden/>
              </w:rPr>
              <w:fldChar w:fldCharType="end"/>
            </w:r>
          </w:hyperlink>
        </w:p>
        <w:p w:rsidR="00B169B8" w:rsidRDefault="00567EA3">
          <w:pPr>
            <w:pStyle w:val="TOC1"/>
            <w:tabs>
              <w:tab w:val="right" w:leader="dot" w:pos="9367"/>
            </w:tabs>
            <w:rPr>
              <w:rFonts w:eastAsiaTheme="minorEastAsia"/>
              <w:noProof/>
            </w:rPr>
          </w:pPr>
          <w:hyperlink w:anchor="_Toc203141293" w:history="1">
            <w:r w:rsidR="00B169B8" w:rsidRPr="00B92242">
              <w:rPr>
                <w:rStyle w:val="Hyperlink"/>
                <w:rFonts w:ascii="Times New Roman" w:hAnsi="Times New Roman" w:cs="Times New Roman"/>
                <w:noProof/>
                <w:lang w:val="bg"/>
              </w:rPr>
              <w:t>5. Регистър на енергийната общност</w:t>
            </w:r>
            <w:r w:rsidR="00B169B8">
              <w:rPr>
                <w:noProof/>
                <w:webHidden/>
              </w:rPr>
              <w:tab/>
            </w:r>
            <w:r w:rsidR="00B169B8">
              <w:rPr>
                <w:noProof/>
                <w:webHidden/>
              </w:rPr>
              <w:fldChar w:fldCharType="begin"/>
            </w:r>
            <w:r w:rsidR="00B169B8">
              <w:rPr>
                <w:noProof/>
                <w:webHidden/>
              </w:rPr>
              <w:instrText xml:space="preserve"> PAGEREF _Toc203141293 \h </w:instrText>
            </w:r>
            <w:r w:rsidR="00B169B8">
              <w:rPr>
                <w:noProof/>
                <w:webHidden/>
              </w:rPr>
            </w:r>
            <w:r w:rsidR="00B169B8">
              <w:rPr>
                <w:noProof/>
                <w:webHidden/>
              </w:rPr>
              <w:fldChar w:fldCharType="separate"/>
            </w:r>
            <w:r w:rsidR="00B169B8">
              <w:rPr>
                <w:noProof/>
                <w:webHidden/>
              </w:rPr>
              <w:t>64</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294" w:history="1">
            <w:r w:rsidR="00B169B8" w:rsidRPr="00B92242">
              <w:rPr>
                <w:rStyle w:val="Hyperlink"/>
                <w:rFonts w:ascii="Times New Roman" w:hAnsi="Times New Roman" w:cs="Times New Roman"/>
                <w:noProof/>
              </w:rPr>
              <w:t xml:space="preserve">5.1 </w:t>
            </w:r>
            <w:r w:rsidR="00B169B8" w:rsidRPr="00B92242">
              <w:rPr>
                <w:rStyle w:val="Hyperlink"/>
                <w:rFonts w:ascii="Times New Roman" w:hAnsi="Times New Roman" w:cs="Times New Roman"/>
                <w:noProof/>
                <w:lang w:val="bg"/>
              </w:rPr>
              <w:t>Пътна карта за създаване на регистър на енергийната общност в България, включително ключови съображения и стъпки за действие.</w:t>
            </w:r>
            <w:r w:rsidR="00B169B8">
              <w:rPr>
                <w:noProof/>
                <w:webHidden/>
              </w:rPr>
              <w:tab/>
            </w:r>
            <w:r w:rsidR="00B169B8">
              <w:rPr>
                <w:noProof/>
                <w:webHidden/>
              </w:rPr>
              <w:fldChar w:fldCharType="begin"/>
            </w:r>
            <w:r w:rsidR="00B169B8">
              <w:rPr>
                <w:noProof/>
                <w:webHidden/>
              </w:rPr>
              <w:instrText xml:space="preserve"> PAGEREF _Toc203141294 \h </w:instrText>
            </w:r>
            <w:r w:rsidR="00B169B8">
              <w:rPr>
                <w:noProof/>
                <w:webHidden/>
              </w:rPr>
            </w:r>
            <w:r w:rsidR="00B169B8">
              <w:rPr>
                <w:noProof/>
                <w:webHidden/>
              </w:rPr>
              <w:fldChar w:fldCharType="separate"/>
            </w:r>
            <w:r w:rsidR="00B169B8">
              <w:rPr>
                <w:noProof/>
                <w:webHidden/>
              </w:rPr>
              <w:t>69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95" w:history="1">
            <w:r w:rsidR="00B169B8" w:rsidRPr="00B92242">
              <w:rPr>
                <w:rStyle w:val="Hyperlink"/>
                <w:rFonts w:ascii="Times New Roman" w:hAnsi="Times New Roman" w:cs="Times New Roman"/>
                <w:noProof/>
                <w:lang w:val="bg"/>
              </w:rPr>
              <w:t>5.1.1 Основни съображения за създаване на регистър на енергийните общности</w:t>
            </w:r>
            <w:r w:rsidR="00B169B8">
              <w:rPr>
                <w:noProof/>
                <w:webHidden/>
              </w:rPr>
              <w:tab/>
            </w:r>
            <w:r w:rsidR="00B169B8">
              <w:rPr>
                <w:noProof/>
                <w:webHidden/>
              </w:rPr>
              <w:fldChar w:fldCharType="begin"/>
            </w:r>
            <w:r w:rsidR="00B169B8">
              <w:rPr>
                <w:noProof/>
                <w:webHidden/>
              </w:rPr>
              <w:instrText xml:space="preserve"> PAGEREF _Toc203141295 \h </w:instrText>
            </w:r>
            <w:r w:rsidR="00B169B8">
              <w:rPr>
                <w:noProof/>
                <w:webHidden/>
              </w:rPr>
            </w:r>
            <w:r w:rsidR="00B169B8">
              <w:rPr>
                <w:noProof/>
                <w:webHidden/>
              </w:rPr>
              <w:fldChar w:fldCharType="separate"/>
            </w:r>
            <w:r w:rsidR="00B169B8">
              <w:rPr>
                <w:noProof/>
                <w:webHidden/>
              </w:rPr>
              <w:t>69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96" w:history="1">
            <w:r w:rsidR="00B169B8" w:rsidRPr="00B92242">
              <w:rPr>
                <w:rStyle w:val="Hyperlink"/>
                <w:rFonts w:ascii="Times New Roman" w:hAnsi="Times New Roman" w:cs="Times New Roman"/>
                <w:noProof/>
              </w:rPr>
              <w:t>5.1.3 Правна и техническа рамка на регистъра, гарантираща спазването на българското и европейското законодателство</w:t>
            </w:r>
            <w:r w:rsidR="00B169B8" w:rsidRPr="00B92242">
              <w:rPr>
                <w:rStyle w:val="Hyperlink"/>
                <w:rFonts w:ascii="Times New Roman" w:hAnsi="Times New Roman" w:cs="Times New Roman"/>
                <w:noProof/>
                <w:lang w:val="bg"/>
              </w:rPr>
              <w:t>.</w:t>
            </w:r>
            <w:r w:rsidR="00B169B8">
              <w:rPr>
                <w:noProof/>
                <w:webHidden/>
              </w:rPr>
              <w:tab/>
            </w:r>
            <w:r w:rsidR="00B169B8">
              <w:rPr>
                <w:noProof/>
                <w:webHidden/>
              </w:rPr>
              <w:fldChar w:fldCharType="begin"/>
            </w:r>
            <w:r w:rsidR="00B169B8">
              <w:rPr>
                <w:noProof/>
                <w:webHidden/>
              </w:rPr>
              <w:instrText xml:space="preserve"> PAGEREF _Toc203141296 \h </w:instrText>
            </w:r>
            <w:r w:rsidR="00B169B8">
              <w:rPr>
                <w:noProof/>
                <w:webHidden/>
              </w:rPr>
            </w:r>
            <w:r w:rsidR="00B169B8">
              <w:rPr>
                <w:noProof/>
                <w:webHidden/>
              </w:rPr>
              <w:fldChar w:fldCharType="separate"/>
            </w:r>
            <w:r w:rsidR="00B169B8">
              <w:rPr>
                <w:noProof/>
                <w:webHidden/>
              </w:rPr>
              <w:t>71</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297" w:history="1">
            <w:r w:rsidR="00B169B8" w:rsidRPr="00B92242">
              <w:rPr>
                <w:rStyle w:val="Hyperlink"/>
                <w:rFonts w:ascii="Times New Roman" w:hAnsi="Times New Roman" w:cs="Times New Roman"/>
                <w:noProof/>
                <w:lang w:val="bg"/>
              </w:rPr>
              <w:t>5.2 Референтен показател за правната рамка по отношение на регистрите на енергийните общности в 6 държави — членки на ЕС</w:t>
            </w:r>
            <w:r w:rsidR="00B169B8">
              <w:rPr>
                <w:noProof/>
                <w:webHidden/>
              </w:rPr>
              <w:tab/>
            </w:r>
            <w:r w:rsidR="00B169B8">
              <w:rPr>
                <w:noProof/>
                <w:webHidden/>
              </w:rPr>
              <w:fldChar w:fldCharType="begin"/>
            </w:r>
            <w:r w:rsidR="00B169B8">
              <w:rPr>
                <w:noProof/>
                <w:webHidden/>
              </w:rPr>
              <w:instrText xml:space="preserve"> PAGEREF _Toc203141297 \h </w:instrText>
            </w:r>
            <w:r w:rsidR="00B169B8">
              <w:rPr>
                <w:noProof/>
                <w:webHidden/>
              </w:rPr>
            </w:r>
            <w:r w:rsidR="00B169B8">
              <w:rPr>
                <w:noProof/>
                <w:webHidden/>
              </w:rPr>
              <w:fldChar w:fldCharType="separate"/>
            </w:r>
            <w:r w:rsidR="00B169B8">
              <w:rPr>
                <w:noProof/>
                <w:webHidden/>
              </w:rPr>
              <w:t>73</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98" w:history="1">
            <w:r w:rsidR="00B169B8" w:rsidRPr="00B92242">
              <w:rPr>
                <w:rStyle w:val="Hyperlink"/>
                <w:rFonts w:ascii="Times New Roman" w:hAnsi="Times New Roman" w:cs="Times New Roman"/>
                <w:noProof/>
                <w:lang w:val="bg"/>
              </w:rPr>
              <w:t>5.2.1 Гърция</w:t>
            </w:r>
            <w:r w:rsidR="00B169B8">
              <w:rPr>
                <w:noProof/>
                <w:webHidden/>
              </w:rPr>
              <w:tab/>
            </w:r>
            <w:r w:rsidR="00B169B8">
              <w:rPr>
                <w:noProof/>
                <w:webHidden/>
              </w:rPr>
              <w:fldChar w:fldCharType="begin"/>
            </w:r>
            <w:r w:rsidR="00B169B8">
              <w:rPr>
                <w:noProof/>
                <w:webHidden/>
              </w:rPr>
              <w:instrText xml:space="preserve"> PAGEREF _Toc203141298 \h </w:instrText>
            </w:r>
            <w:r w:rsidR="00B169B8">
              <w:rPr>
                <w:noProof/>
                <w:webHidden/>
              </w:rPr>
            </w:r>
            <w:r w:rsidR="00B169B8">
              <w:rPr>
                <w:noProof/>
                <w:webHidden/>
              </w:rPr>
              <w:fldChar w:fldCharType="separate"/>
            </w:r>
            <w:r w:rsidR="00B169B8">
              <w:rPr>
                <w:noProof/>
                <w:webHidden/>
              </w:rPr>
              <w:t>73</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299" w:history="1">
            <w:r w:rsidR="00B169B8" w:rsidRPr="00B92242">
              <w:rPr>
                <w:rStyle w:val="Hyperlink"/>
                <w:rFonts w:ascii="Times New Roman" w:hAnsi="Times New Roman" w:cs="Times New Roman"/>
                <w:noProof/>
                <w:lang w:val="bg"/>
              </w:rPr>
              <w:t>5.2.2 Германия</w:t>
            </w:r>
            <w:r w:rsidR="00B169B8">
              <w:rPr>
                <w:noProof/>
                <w:webHidden/>
              </w:rPr>
              <w:tab/>
            </w:r>
            <w:r w:rsidR="00B169B8">
              <w:rPr>
                <w:noProof/>
                <w:webHidden/>
              </w:rPr>
              <w:fldChar w:fldCharType="begin"/>
            </w:r>
            <w:r w:rsidR="00B169B8">
              <w:rPr>
                <w:noProof/>
                <w:webHidden/>
              </w:rPr>
              <w:instrText xml:space="preserve"> PAGEREF _Toc203141299 \h </w:instrText>
            </w:r>
            <w:r w:rsidR="00B169B8">
              <w:rPr>
                <w:noProof/>
                <w:webHidden/>
              </w:rPr>
            </w:r>
            <w:r w:rsidR="00B169B8">
              <w:rPr>
                <w:noProof/>
                <w:webHidden/>
              </w:rPr>
              <w:fldChar w:fldCharType="separate"/>
            </w:r>
            <w:r w:rsidR="00B169B8">
              <w:rPr>
                <w:noProof/>
                <w:webHidden/>
              </w:rPr>
              <w:t>74</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0" w:history="1">
            <w:r w:rsidR="00B169B8" w:rsidRPr="00B92242">
              <w:rPr>
                <w:rStyle w:val="Hyperlink"/>
                <w:rFonts w:ascii="Times New Roman" w:hAnsi="Times New Roman" w:cs="Times New Roman"/>
                <w:noProof/>
                <w:lang w:val="bg"/>
              </w:rPr>
              <w:t>5.2.3 Франция</w:t>
            </w:r>
            <w:r w:rsidR="00B169B8">
              <w:rPr>
                <w:noProof/>
                <w:webHidden/>
              </w:rPr>
              <w:tab/>
            </w:r>
            <w:r w:rsidR="00B169B8">
              <w:rPr>
                <w:noProof/>
                <w:webHidden/>
              </w:rPr>
              <w:fldChar w:fldCharType="begin"/>
            </w:r>
            <w:r w:rsidR="00B169B8">
              <w:rPr>
                <w:noProof/>
                <w:webHidden/>
              </w:rPr>
              <w:instrText xml:space="preserve"> PAGEREF _Toc203141300 \h </w:instrText>
            </w:r>
            <w:r w:rsidR="00B169B8">
              <w:rPr>
                <w:noProof/>
                <w:webHidden/>
              </w:rPr>
            </w:r>
            <w:r w:rsidR="00B169B8">
              <w:rPr>
                <w:noProof/>
                <w:webHidden/>
              </w:rPr>
              <w:fldChar w:fldCharType="separate"/>
            </w:r>
            <w:r w:rsidR="00B169B8">
              <w:rPr>
                <w:noProof/>
                <w:webHidden/>
              </w:rPr>
              <w:t>75</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1" w:history="1">
            <w:r w:rsidR="00B169B8" w:rsidRPr="00B92242">
              <w:rPr>
                <w:rStyle w:val="Hyperlink"/>
                <w:rFonts w:ascii="Times New Roman" w:hAnsi="Times New Roman" w:cs="Times New Roman"/>
                <w:noProof/>
                <w:lang w:val="bg"/>
              </w:rPr>
              <w:t>5.2.4  Италия</w:t>
            </w:r>
            <w:r w:rsidR="00B169B8">
              <w:rPr>
                <w:noProof/>
                <w:webHidden/>
              </w:rPr>
              <w:tab/>
            </w:r>
            <w:r w:rsidR="00B169B8">
              <w:rPr>
                <w:noProof/>
                <w:webHidden/>
              </w:rPr>
              <w:fldChar w:fldCharType="begin"/>
            </w:r>
            <w:r w:rsidR="00B169B8">
              <w:rPr>
                <w:noProof/>
                <w:webHidden/>
              </w:rPr>
              <w:instrText xml:space="preserve"> PAGEREF _Toc203141301 \h </w:instrText>
            </w:r>
            <w:r w:rsidR="00B169B8">
              <w:rPr>
                <w:noProof/>
                <w:webHidden/>
              </w:rPr>
            </w:r>
            <w:r w:rsidR="00B169B8">
              <w:rPr>
                <w:noProof/>
                <w:webHidden/>
              </w:rPr>
              <w:fldChar w:fldCharType="separate"/>
            </w:r>
            <w:r w:rsidR="00B169B8">
              <w:rPr>
                <w:noProof/>
                <w:webHidden/>
              </w:rPr>
              <w:t>75</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2" w:history="1">
            <w:r w:rsidR="00B169B8" w:rsidRPr="00B92242">
              <w:rPr>
                <w:rStyle w:val="Hyperlink"/>
                <w:rFonts w:ascii="Times New Roman" w:hAnsi="Times New Roman" w:cs="Times New Roman"/>
                <w:noProof/>
                <w:lang w:val="bg"/>
              </w:rPr>
              <w:t>5.2.5 Румъния</w:t>
            </w:r>
            <w:r w:rsidR="00B169B8">
              <w:rPr>
                <w:noProof/>
                <w:webHidden/>
              </w:rPr>
              <w:tab/>
            </w:r>
            <w:r w:rsidR="00B169B8">
              <w:rPr>
                <w:noProof/>
                <w:webHidden/>
              </w:rPr>
              <w:fldChar w:fldCharType="begin"/>
            </w:r>
            <w:r w:rsidR="00B169B8">
              <w:rPr>
                <w:noProof/>
                <w:webHidden/>
              </w:rPr>
              <w:instrText xml:space="preserve"> PAGEREF _Toc203141302 \h </w:instrText>
            </w:r>
            <w:r w:rsidR="00B169B8">
              <w:rPr>
                <w:noProof/>
                <w:webHidden/>
              </w:rPr>
            </w:r>
            <w:r w:rsidR="00B169B8">
              <w:rPr>
                <w:noProof/>
                <w:webHidden/>
              </w:rPr>
              <w:fldChar w:fldCharType="separate"/>
            </w:r>
            <w:r w:rsidR="00B169B8">
              <w:rPr>
                <w:noProof/>
                <w:webHidden/>
              </w:rPr>
              <w:t>76</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3" w:history="1">
            <w:r w:rsidR="00B169B8" w:rsidRPr="00B92242">
              <w:rPr>
                <w:rStyle w:val="Hyperlink"/>
                <w:rFonts w:ascii="Times New Roman" w:hAnsi="Times New Roman" w:cs="Times New Roman"/>
                <w:noProof/>
                <w:lang w:val="bg"/>
              </w:rPr>
              <w:t>5.2.6 Австрия</w:t>
            </w:r>
            <w:r w:rsidR="00B169B8">
              <w:rPr>
                <w:noProof/>
                <w:webHidden/>
              </w:rPr>
              <w:tab/>
            </w:r>
            <w:r w:rsidR="00B169B8">
              <w:rPr>
                <w:noProof/>
                <w:webHidden/>
              </w:rPr>
              <w:fldChar w:fldCharType="begin"/>
            </w:r>
            <w:r w:rsidR="00B169B8">
              <w:rPr>
                <w:noProof/>
                <w:webHidden/>
              </w:rPr>
              <w:instrText xml:space="preserve"> PAGEREF _Toc203141303 \h </w:instrText>
            </w:r>
            <w:r w:rsidR="00B169B8">
              <w:rPr>
                <w:noProof/>
                <w:webHidden/>
              </w:rPr>
            </w:r>
            <w:r w:rsidR="00B169B8">
              <w:rPr>
                <w:noProof/>
                <w:webHidden/>
              </w:rPr>
              <w:fldChar w:fldCharType="separate"/>
            </w:r>
            <w:r w:rsidR="00B169B8">
              <w:rPr>
                <w:noProof/>
                <w:webHidden/>
              </w:rPr>
              <w:t>78</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04" w:history="1">
            <w:r w:rsidR="00B169B8" w:rsidRPr="00B92242">
              <w:rPr>
                <w:rStyle w:val="Hyperlink"/>
                <w:rFonts w:ascii="Times New Roman" w:hAnsi="Times New Roman" w:cs="Times New Roman"/>
                <w:noProof/>
                <w:lang w:val="bg"/>
              </w:rPr>
              <w:t>5.3 Модел на управление на регистъра, в който подробно се описват ролите и отговорностите на основните заинтересовани страни.</w:t>
            </w:r>
            <w:r w:rsidR="00B169B8">
              <w:rPr>
                <w:noProof/>
                <w:webHidden/>
              </w:rPr>
              <w:tab/>
            </w:r>
            <w:r w:rsidR="00B169B8">
              <w:rPr>
                <w:noProof/>
                <w:webHidden/>
              </w:rPr>
              <w:fldChar w:fldCharType="begin"/>
            </w:r>
            <w:r w:rsidR="00B169B8">
              <w:rPr>
                <w:noProof/>
                <w:webHidden/>
              </w:rPr>
              <w:instrText xml:space="preserve"> PAGEREF _Toc203141304 \h </w:instrText>
            </w:r>
            <w:r w:rsidR="00B169B8">
              <w:rPr>
                <w:noProof/>
                <w:webHidden/>
              </w:rPr>
            </w:r>
            <w:r w:rsidR="00B169B8">
              <w:rPr>
                <w:noProof/>
                <w:webHidden/>
              </w:rPr>
              <w:fldChar w:fldCharType="separate"/>
            </w:r>
            <w:r w:rsidR="00B169B8">
              <w:rPr>
                <w:noProof/>
                <w:webHidden/>
              </w:rPr>
              <w:t>110</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5" w:history="1">
            <w:r w:rsidR="00B169B8" w:rsidRPr="00B92242">
              <w:rPr>
                <w:rStyle w:val="Hyperlink"/>
                <w:rFonts w:ascii="Times New Roman" w:hAnsi="Times New Roman" w:cs="Times New Roman"/>
                <w:noProof/>
                <w:lang w:val="bg"/>
              </w:rPr>
              <w:t xml:space="preserve">5.3.1 Информация, свързана с </w:t>
            </w:r>
            <w:r w:rsidR="00B169B8" w:rsidRPr="00B92242">
              <w:rPr>
                <w:rStyle w:val="Hyperlink"/>
                <w:rFonts w:ascii="Times New Roman" w:hAnsi="Times New Roman" w:cs="Times New Roman"/>
                <w:noProof/>
              </w:rPr>
              <w:t>CEC</w:t>
            </w:r>
            <w:r w:rsidR="00B169B8" w:rsidRPr="00B92242">
              <w:rPr>
                <w:rStyle w:val="Hyperlink"/>
                <w:rFonts w:ascii="Times New Roman" w:hAnsi="Times New Roman" w:cs="Times New Roman"/>
                <w:noProof/>
                <w:lang w:val="bg"/>
              </w:rPr>
              <w:t xml:space="preserve"> и </w:t>
            </w:r>
            <w:r w:rsidR="00B169B8" w:rsidRPr="00B92242">
              <w:rPr>
                <w:rStyle w:val="Hyperlink"/>
                <w:rFonts w:ascii="Times New Roman" w:hAnsi="Times New Roman" w:cs="Times New Roman"/>
                <w:noProof/>
              </w:rPr>
              <w:t>REC</w:t>
            </w:r>
            <w:r w:rsidR="00B169B8" w:rsidRPr="00B92242">
              <w:rPr>
                <w:rStyle w:val="Hyperlink"/>
                <w:rFonts w:ascii="Times New Roman" w:hAnsi="Times New Roman" w:cs="Times New Roman"/>
                <w:noProof/>
                <w:lang w:val="bg"/>
              </w:rPr>
              <w:t>, управлявани от регистъра на енергийната общност</w:t>
            </w:r>
            <w:r w:rsidR="00B169B8">
              <w:rPr>
                <w:noProof/>
                <w:webHidden/>
              </w:rPr>
              <w:tab/>
            </w:r>
            <w:r w:rsidR="00B169B8">
              <w:rPr>
                <w:noProof/>
                <w:webHidden/>
              </w:rPr>
              <w:fldChar w:fldCharType="begin"/>
            </w:r>
            <w:r w:rsidR="00B169B8">
              <w:rPr>
                <w:noProof/>
                <w:webHidden/>
              </w:rPr>
              <w:instrText xml:space="preserve"> PAGEREF _Toc203141305 \h </w:instrText>
            </w:r>
            <w:r w:rsidR="00B169B8">
              <w:rPr>
                <w:noProof/>
                <w:webHidden/>
              </w:rPr>
            </w:r>
            <w:r w:rsidR="00B169B8">
              <w:rPr>
                <w:noProof/>
                <w:webHidden/>
              </w:rPr>
              <w:fldChar w:fldCharType="separate"/>
            </w:r>
            <w:r w:rsidR="00B169B8">
              <w:rPr>
                <w:noProof/>
                <w:webHidden/>
              </w:rPr>
              <w:t>110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06" w:history="1">
            <w:r w:rsidR="00B169B8" w:rsidRPr="00B92242">
              <w:rPr>
                <w:rStyle w:val="Hyperlink"/>
                <w:rFonts w:ascii="Times New Roman" w:hAnsi="Times New Roman" w:cs="Times New Roman"/>
                <w:noProof/>
                <w:lang w:val="bg"/>
              </w:rPr>
              <w:t>5.3.2</w:t>
            </w:r>
            <w:r w:rsidR="00B169B8">
              <w:rPr>
                <w:rFonts w:eastAsiaTheme="minorEastAsia"/>
                <w:noProof/>
              </w:rPr>
              <w:tab/>
            </w:r>
            <w:r w:rsidR="00B169B8" w:rsidRPr="00B92242">
              <w:rPr>
                <w:rStyle w:val="Hyperlink"/>
                <w:rFonts w:ascii="Times New Roman" w:hAnsi="Times New Roman" w:cs="Times New Roman"/>
                <w:noProof/>
                <w:lang w:val="bg"/>
              </w:rPr>
              <w:t>Модел на управление на регистъра</w:t>
            </w:r>
            <w:r w:rsidR="00B169B8">
              <w:rPr>
                <w:noProof/>
                <w:webHidden/>
              </w:rPr>
              <w:tab/>
            </w:r>
            <w:r w:rsidR="00B169B8">
              <w:rPr>
                <w:noProof/>
                <w:webHidden/>
              </w:rPr>
              <w:fldChar w:fldCharType="begin"/>
            </w:r>
            <w:r w:rsidR="00B169B8">
              <w:rPr>
                <w:noProof/>
                <w:webHidden/>
              </w:rPr>
              <w:instrText xml:space="preserve"> PAGEREF _Toc203141306 \h </w:instrText>
            </w:r>
            <w:r w:rsidR="00B169B8">
              <w:rPr>
                <w:noProof/>
                <w:webHidden/>
              </w:rPr>
            </w:r>
            <w:r w:rsidR="00B169B8">
              <w:rPr>
                <w:noProof/>
                <w:webHidden/>
              </w:rPr>
              <w:fldChar w:fldCharType="separate"/>
            </w:r>
            <w:r w:rsidR="00B169B8">
              <w:rPr>
                <w:noProof/>
                <w:webHidden/>
              </w:rPr>
              <w:t>112</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07" w:history="1">
            <w:r w:rsidR="00B169B8" w:rsidRPr="00B92242">
              <w:rPr>
                <w:rStyle w:val="Hyperlink"/>
                <w:rFonts w:ascii="Times New Roman" w:hAnsi="Times New Roman" w:cs="Times New Roman"/>
                <w:noProof/>
                <w:lang w:val="bg"/>
              </w:rPr>
              <w:t xml:space="preserve">5.3.3 Ролята на АУЕР в администрирането на регистъра на </w:t>
            </w:r>
            <w:r w:rsidR="00B169B8" w:rsidRPr="00B92242">
              <w:rPr>
                <w:rStyle w:val="Hyperlink"/>
                <w:rFonts w:ascii="Times New Roman" w:hAnsi="Times New Roman" w:cs="Times New Roman"/>
                <w:noProof/>
              </w:rPr>
              <w:t>CEC</w:t>
            </w:r>
            <w:r w:rsidR="00B169B8" w:rsidRPr="00B92242">
              <w:rPr>
                <w:rStyle w:val="Hyperlink"/>
                <w:rFonts w:ascii="Times New Roman" w:hAnsi="Times New Roman" w:cs="Times New Roman"/>
                <w:noProof/>
                <w:lang w:val="bg"/>
              </w:rPr>
              <w:t xml:space="preserve"> и </w:t>
            </w:r>
            <w:r w:rsidR="00B169B8" w:rsidRPr="00B92242">
              <w:rPr>
                <w:rStyle w:val="Hyperlink"/>
                <w:rFonts w:ascii="Times New Roman" w:hAnsi="Times New Roman" w:cs="Times New Roman"/>
                <w:noProof/>
              </w:rPr>
              <w:t>REC</w:t>
            </w:r>
            <w:r w:rsidR="00B169B8">
              <w:rPr>
                <w:noProof/>
                <w:webHidden/>
              </w:rPr>
              <w:tab/>
            </w:r>
            <w:r w:rsidR="00B169B8">
              <w:rPr>
                <w:noProof/>
                <w:webHidden/>
              </w:rPr>
              <w:fldChar w:fldCharType="begin"/>
            </w:r>
            <w:r w:rsidR="00B169B8">
              <w:rPr>
                <w:noProof/>
                <w:webHidden/>
              </w:rPr>
              <w:instrText xml:space="preserve"> PAGEREF _Toc203141307 \h </w:instrText>
            </w:r>
            <w:r w:rsidR="00B169B8">
              <w:rPr>
                <w:noProof/>
                <w:webHidden/>
              </w:rPr>
            </w:r>
            <w:r w:rsidR="00B169B8">
              <w:rPr>
                <w:noProof/>
                <w:webHidden/>
              </w:rPr>
              <w:fldChar w:fldCharType="separate"/>
            </w:r>
            <w:r w:rsidR="00B169B8">
              <w:rPr>
                <w:noProof/>
                <w:webHidden/>
              </w:rPr>
              <w:t>113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08" w:history="1">
            <w:r w:rsidR="00B169B8" w:rsidRPr="00B92242">
              <w:rPr>
                <w:rStyle w:val="Hyperlink"/>
                <w:rFonts w:ascii="Times New Roman" w:hAnsi="Times New Roman" w:cs="Times New Roman"/>
                <w:noProof/>
                <w:lang w:val="bg"/>
              </w:rPr>
              <w:t>5.3.4</w:t>
            </w:r>
            <w:r w:rsidR="00B169B8">
              <w:rPr>
                <w:rFonts w:eastAsiaTheme="minorEastAsia"/>
                <w:noProof/>
              </w:rPr>
              <w:tab/>
            </w:r>
            <w:r w:rsidR="00B169B8" w:rsidRPr="00B92242">
              <w:rPr>
                <w:rStyle w:val="Hyperlink"/>
                <w:rFonts w:ascii="Times New Roman" w:hAnsi="Times New Roman" w:cs="Times New Roman"/>
                <w:noProof/>
                <w:lang w:val="bg"/>
              </w:rPr>
              <w:t>Процес на регистрация</w:t>
            </w:r>
            <w:r w:rsidR="00B169B8">
              <w:rPr>
                <w:noProof/>
                <w:webHidden/>
              </w:rPr>
              <w:tab/>
            </w:r>
            <w:r w:rsidR="00B169B8">
              <w:rPr>
                <w:noProof/>
                <w:webHidden/>
              </w:rPr>
              <w:fldChar w:fldCharType="begin"/>
            </w:r>
            <w:r w:rsidR="00B169B8">
              <w:rPr>
                <w:noProof/>
                <w:webHidden/>
              </w:rPr>
              <w:instrText xml:space="preserve"> PAGEREF _Toc203141308 \h </w:instrText>
            </w:r>
            <w:r w:rsidR="00B169B8">
              <w:rPr>
                <w:noProof/>
                <w:webHidden/>
              </w:rPr>
            </w:r>
            <w:r w:rsidR="00B169B8">
              <w:rPr>
                <w:noProof/>
                <w:webHidden/>
              </w:rPr>
              <w:fldChar w:fldCharType="separate"/>
            </w:r>
            <w:r w:rsidR="00B169B8">
              <w:rPr>
                <w:noProof/>
                <w:webHidden/>
              </w:rPr>
              <w:t>114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09" w:history="1">
            <w:r w:rsidR="00B169B8" w:rsidRPr="00B92242">
              <w:rPr>
                <w:rStyle w:val="Hyperlink"/>
                <w:rFonts w:ascii="Times New Roman" w:hAnsi="Times New Roman" w:cs="Times New Roman"/>
                <w:noProof/>
                <w:lang w:val="bg"/>
              </w:rPr>
              <w:t>5.3.5</w:t>
            </w:r>
            <w:r w:rsidR="00B169B8">
              <w:rPr>
                <w:rFonts w:eastAsiaTheme="minorEastAsia"/>
                <w:noProof/>
              </w:rPr>
              <w:tab/>
            </w:r>
            <w:r w:rsidR="00B169B8" w:rsidRPr="00B92242">
              <w:rPr>
                <w:rStyle w:val="Hyperlink"/>
                <w:rFonts w:ascii="Times New Roman" w:hAnsi="Times New Roman" w:cs="Times New Roman"/>
                <w:noProof/>
                <w:lang w:val="bg"/>
              </w:rPr>
              <w:t>Съответствие и мониторинг</w:t>
            </w:r>
            <w:r w:rsidR="00B169B8">
              <w:rPr>
                <w:noProof/>
                <w:webHidden/>
              </w:rPr>
              <w:tab/>
            </w:r>
            <w:r w:rsidR="00B169B8">
              <w:rPr>
                <w:noProof/>
                <w:webHidden/>
              </w:rPr>
              <w:fldChar w:fldCharType="begin"/>
            </w:r>
            <w:r w:rsidR="00B169B8">
              <w:rPr>
                <w:noProof/>
                <w:webHidden/>
              </w:rPr>
              <w:instrText xml:space="preserve"> PAGEREF _Toc203141309 \h </w:instrText>
            </w:r>
            <w:r w:rsidR="00B169B8">
              <w:rPr>
                <w:noProof/>
                <w:webHidden/>
              </w:rPr>
            </w:r>
            <w:r w:rsidR="00B169B8">
              <w:rPr>
                <w:noProof/>
                <w:webHidden/>
              </w:rPr>
              <w:fldChar w:fldCharType="separate"/>
            </w:r>
            <w:r w:rsidR="00B169B8">
              <w:rPr>
                <w:noProof/>
                <w:webHidden/>
              </w:rPr>
              <w:t>114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0" w:history="1">
            <w:r w:rsidR="00B169B8" w:rsidRPr="00B92242">
              <w:rPr>
                <w:rStyle w:val="Hyperlink"/>
                <w:rFonts w:ascii="Times New Roman" w:hAnsi="Times New Roman" w:cs="Times New Roman"/>
                <w:noProof/>
                <w:lang w:val="bg"/>
              </w:rPr>
              <w:t>5.3.6</w:t>
            </w:r>
            <w:r w:rsidR="00B169B8">
              <w:rPr>
                <w:rFonts w:eastAsiaTheme="minorEastAsia"/>
                <w:noProof/>
              </w:rPr>
              <w:tab/>
            </w:r>
            <w:r w:rsidR="00B169B8" w:rsidRPr="00B92242">
              <w:rPr>
                <w:rStyle w:val="Hyperlink"/>
                <w:rFonts w:ascii="Times New Roman" w:hAnsi="Times New Roman" w:cs="Times New Roman"/>
                <w:noProof/>
                <w:lang w:val="bg"/>
              </w:rPr>
              <w:t>Публичен достъп до избрана информация</w:t>
            </w:r>
            <w:r w:rsidR="00B169B8">
              <w:rPr>
                <w:noProof/>
                <w:webHidden/>
              </w:rPr>
              <w:tab/>
            </w:r>
            <w:r w:rsidR="00B169B8">
              <w:rPr>
                <w:noProof/>
                <w:webHidden/>
              </w:rPr>
              <w:fldChar w:fldCharType="begin"/>
            </w:r>
            <w:r w:rsidR="00B169B8">
              <w:rPr>
                <w:noProof/>
                <w:webHidden/>
              </w:rPr>
              <w:instrText xml:space="preserve"> PAGEREF _Toc203141310 \h </w:instrText>
            </w:r>
            <w:r w:rsidR="00B169B8">
              <w:rPr>
                <w:noProof/>
                <w:webHidden/>
              </w:rPr>
            </w:r>
            <w:r w:rsidR="00B169B8">
              <w:rPr>
                <w:noProof/>
                <w:webHidden/>
              </w:rPr>
              <w:fldChar w:fldCharType="separate"/>
            </w:r>
            <w:r w:rsidR="00B169B8">
              <w:rPr>
                <w:noProof/>
                <w:webHidden/>
              </w:rPr>
              <w:t>114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1" w:history="1">
            <w:r w:rsidR="00B169B8" w:rsidRPr="00B92242">
              <w:rPr>
                <w:rStyle w:val="Hyperlink"/>
                <w:rFonts w:ascii="Times New Roman" w:hAnsi="Times New Roman" w:cs="Times New Roman"/>
                <w:noProof/>
                <w:lang w:val="bg"/>
              </w:rPr>
              <w:t>5.3.7</w:t>
            </w:r>
            <w:r w:rsidR="00B169B8">
              <w:rPr>
                <w:rFonts w:eastAsiaTheme="minorEastAsia"/>
                <w:noProof/>
              </w:rPr>
              <w:tab/>
            </w:r>
            <w:r w:rsidR="00B169B8" w:rsidRPr="00B92242">
              <w:rPr>
                <w:rStyle w:val="Hyperlink"/>
                <w:rFonts w:ascii="Times New Roman" w:hAnsi="Times New Roman" w:cs="Times New Roman"/>
                <w:noProof/>
                <w:lang w:val="bg"/>
              </w:rPr>
              <w:t>Финансова устойчивост на регистъра</w:t>
            </w:r>
            <w:r w:rsidR="00B169B8">
              <w:rPr>
                <w:noProof/>
                <w:webHidden/>
              </w:rPr>
              <w:tab/>
            </w:r>
            <w:r w:rsidR="00B169B8">
              <w:rPr>
                <w:noProof/>
                <w:webHidden/>
              </w:rPr>
              <w:fldChar w:fldCharType="begin"/>
            </w:r>
            <w:r w:rsidR="00B169B8">
              <w:rPr>
                <w:noProof/>
                <w:webHidden/>
              </w:rPr>
              <w:instrText xml:space="preserve"> PAGEREF _Toc203141311 \h </w:instrText>
            </w:r>
            <w:r w:rsidR="00B169B8">
              <w:rPr>
                <w:noProof/>
                <w:webHidden/>
              </w:rPr>
            </w:r>
            <w:r w:rsidR="00B169B8">
              <w:rPr>
                <w:noProof/>
                <w:webHidden/>
              </w:rPr>
              <w:fldChar w:fldCharType="separate"/>
            </w:r>
            <w:r w:rsidR="00B169B8">
              <w:rPr>
                <w:noProof/>
                <w:webHidden/>
              </w:rPr>
              <w:t>115</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12" w:history="1">
            <w:r w:rsidR="00B169B8" w:rsidRPr="00B92242">
              <w:rPr>
                <w:rStyle w:val="Hyperlink"/>
                <w:rFonts w:ascii="Times New Roman" w:hAnsi="Times New Roman" w:cs="Times New Roman"/>
                <w:noProof/>
                <w:lang w:val="bg"/>
              </w:rPr>
              <w:t>5.4  Основни заинтересовани страни и отговорности</w:t>
            </w:r>
            <w:r w:rsidR="00B169B8">
              <w:rPr>
                <w:noProof/>
                <w:webHidden/>
              </w:rPr>
              <w:tab/>
            </w:r>
            <w:r w:rsidR="00B169B8">
              <w:rPr>
                <w:noProof/>
                <w:webHidden/>
              </w:rPr>
              <w:fldChar w:fldCharType="begin"/>
            </w:r>
            <w:r w:rsidR="00B169B8">
              <w:rPr>
                <w:noProof/>
                <w:webHidden/>
              </w:rPr>
              <w:instrText xml:space="preserve"> PAGEREF _Toc203141312 \h </w:instrText>
            </w:r>
            <w:r w:rsidR="00B169B8">
              <w:rPr>
                <w:noProof/>
                <w:webHidden/>
              </w:rPr>
            </w:r>
            <w:r w:rsidR="00B169B8">
              <w:rPr>
                <w:noProof/>
                <w:webHidden/>
              </w:rPr>
              <w:fldChar w:fldCharType="separate"/>
            </w:r>
            <w:r w:rsidR="00B169B8">
              <w:rPr>
                <w:noProof/>
                <w:webHidden/>
              </w:rPr>
              <w:t>115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3" w:history="1">
            <w:r w:rsidR="00B169B8" w:rsidRPr="00B92242">
              <w:rPr>
                <w:rStyle w:val="Hyperlink"/>
                <w:rFonts w:ascii="Times New Roman" w:eastAsia="Arial" w:hAnsi="Times New Roman" w:cs="Times New Roman"/>
                <w:noProof/>
                <w:lang w:bidi="en-US"/>
              </w:rPr>
              <w:t>5.4.1</w:t>
            </w:r>
            <w:r w:rsidR="00B169B8">
              <w:rPr>
                <w:rFonts w:eastAsiaTheme="minorEastAsia"/>
                <w:noProof/>
              </w:rPr>
              <w:tab/>
            </w:r>
            <w:r w:rsidR="00B169B8" w:rsidRPr="00B92242">
              <w:rPr>
                <w:rStyle w:val="Hyperlink"/>
                <w:rFonts w:ascii="Times New Roman" w:hAnsi="Times New Roman" w:cs="Times New Roman"/>
                <w:noProof/>
                <w:lang w:val="bg"/>
              </w:rPr>
              <w:t>Агенция за устойчиво енергийно развитие (АУЕР)</w:t>
            </w:r>
            <w:r w:rsidR="00B169B8">
              <w:rPr>
                <w:noProof/>
                <w:webHidden/>
              </w:rPr>
              <w:tab/>
            </w:r>
            <w:r w:rsidR="00B169B8">
              <w:rPr>
                <w:noProof/>
                <w:webHidden/>
              </w:rPr>
              <w:fldChar w:fldCharType="begin"/>
            </w:r>
            <w:r w:rsidR="00B169B8">
              <w:rPr>
                <w:noProof/>
                <w:webHidden/>
              </w:rPr>
              <w:instrText xml:space="preserve"> PAGEREF _Toc203141313 \h </w:instrText>
            </w:r>
            <w:r w:rsidR="00B169B8">
              <w:rPr>
                <w:noProof/>
                <w:webHidden/>
              </w:rPr>
            </w:r>
            <w:r w:rsidR="00B169B8">
              <w:rPr>
                <w:noProof/>
                <w:webHidden/>
              </w:rPr>
              <w:fldChar w:fldCharType="separate"/>
            </w:r>
            <w:r w:rsidR="00B169B8">
              <w:rPr>
                <w:noProof/>
                <w:webHidden/>
              </w:rPr>
              <w:t>115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4" w:history="1">
            <w:r w:rsidR="00B169B8" w:rsidRPr="00B92242">
              <w:rPr>
                <w:rStyle w:val="Hyperlink"/>
                <w:rFonts w:ascii="Times New Roman" w:eastAsia="Arial" w:hAnsi="Times New Roman" w:cs="Times New Roman"/>
                <w:noProof/>
                <w:lang w:bidi="en-US"/>
              </w:rPr>
              <w:t>5.4.2</w:t>
            </w:r>
            <w:r w:rsidR="00B169B8">
              <w:rPr>
                <w:rFonts w:eastAsiaTheme="minorEastAsia"/>
                <w:noProof/>
              </w:rPr>
              <w:tab/>
            </w:r>
            <w:r w:rsidR="00B169B8" w:rsidRPr="00B92242">
              <w:rPr>
                <w:rStyle w:val="Hyperlink"/>
                <w:rFonts w:ascii="Times New Roman" w:hAnsi="Times New Roman" w:cs="Times New Roman"/>
                <w:noProof/>
                <w:lang w:val="bg"/>
              </w:rPr>
              <w:t>Комисия за енергийно и водно регулиране (КЕВР)</w:t>
            </w:r>
            <w:r w:rsidR="00B169B8">
              <w:rPr>
                <w:noProof/>
                <w:webHidden/>
              </w:rPr>
              <w:tab/>
            </w:r>
            <w:r w:rsidR="00B169B8">
              <w:rPr>
                <w:noProof/>
                <w:webHidden/>
              </w:rPr>
              <w:fldChar w:fldCharType="begin"/>
            </w:r>
            <w:r w:rsidR="00B169B8">
              <w:rPr>
                <w:noProof/>
                <w:webHidden/>
              </w:rPr>
              <w:instrText xml:space="preserve"> PAGEREF _Toc203141314 \h </w:instrText>
            </w:r>
            <w:r w:rsidR="00B169B8">
              <w:rPr>
                <w:noProof/>
                <w:webHidden/>
              </w:rPr>
            </w:r>
            <w:r w:rsidR="00B169B8">
              <w:rPr>
                <w:noProof/>
                <w:webHidden/>
              </w:rPr>
              <w:fldChar w:fldCharType="separate"/>
            </w:r>
            <w:r w:rsidR="00B169B8">
              <w:rPr>
                <w:noProof/>
                <w:webHidden/>
              </w:rPr>
              <w:t>116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5" w:history="1">
            <w:r w:rsidR="00B169B8" w:rsidRPr="00B92242">
              <w:rPr>
                <w:rStyle w:val="Hyperlink"/>
                <w:rFonts w:ascii="Times New Roman" w:eastAsia="Arial" w:hAnsi="Times New Roman" w:cs="Times New Roman"/>
                <w:noProof/>
                <w:lang w:bidi="en-US"/>
              </w:rPr>
              <w:t>5.4.3</w:t>
            </w:r>
            <w:r w:rsidR="00B169B8">
              <w:rPr>
                <w:rFonts w:eastAsiaTheme="minorEastAsia"/>
                <w:noProof/>
              </w:rPr>
              <w:tab/>
            </w:r>
            <w:r w:rsidR="00B169B8" w:rsidRPr="00B92242">
              <w:rPr>
                <w:rStyle w:val="Hyperlink"/>
                <w:rFonts w:ascii="Times New Roman" w:hAnsi="Times New Roman" w:cs="Times New Roman"/>
                <w:noProof/>
                <w:lang w:val="bg"/>
              </w:rPr>
              <w:t>Министерство на енергетиката</w:t>
            </w:r>
            <w:r w:rsidR="00B169B8">
              <w:rPr>
                <w:noProof/>
                <w:webHidden/>
              </w:rPr>
              <w:tab/>
            </w:r>
            <w:r w:rsidR="00B169B8">
              <w:rPr>
                <w:noProof/>
                <w:webHidden/>
              </w:rPr>
              <w:fldChar w:fldCharType="begin"/>
            </w:r>
            <w:r w:rsidR="00B169B8">
              <w:rPr>
                <w:noProof/>
                <w:webHidden/>
              </w:rPr>
              <w:instrText xml:space="preserve"> PAGEREF _Toc203141315 \h </w:instrText>
            </w:r>
            <w:r w:rsidR="00B169B8">
              <w:rPr>
                <w:noProof/>
                <w:webHidden/>
              </w:rPr>
            </w:r>
            <w:r w:rsidR="00B169B8">
              <w:rPr>
                <w:noProof/>
                <w:webHidden/>
              </w:rPr>
              <w:fldChar w:fldCharType="separate"/>
            </w:r>
            <w:r w:rsidR="00B169B8">
              <w:rPr>
                <w:noProof/>
                <w:webHidden/>
              </w:rPr>
              <w:t>116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6" w:history="1">
            <w:r w:rsidR="00B169B8" w:rsidRPr="00B92242">
              <w:rPr>
                <w:rStyle w:val="Hyperlink"/>
                <w:rFonts w:ascii="Times New Roman" w:eastAsia="Arial" w:hAnsi="Times New Roman" w:cs="Times New Roman"/>
                <w:noProof/>
                <w:lang w:bidi="en-US"/>
              </w:rPr>
              <w:t>5.4.4</w:t>
            </w:r>
            <w:r w:rsidR="00B169B8">
              <w:rPr>
                <w:rFonts w:eastAsiaTheme="minorEastAsia"/>
                <w:noProof/>
              </w:rPr>
              <w:tab/>
            </w:r>
            <w:r w:rsidR="00B169B8" w:rsidRPr="00B92242">
              <w:rPr>
                <w:rStyle w:val="Hyperlink"/>
                <w:rFonts w:ascii="Times New Roman" w:hAnsi="Times New Roman" w:cs="Times New Roman"/>
                <w:noProof/>
                <w:lang w:val="bg-BG"/>
              </w:rPr>
              <w:t>ЕСО</w:t>
            </w:r>
            <w:r w:rsidR="00B169B8" w:rsidRPr="00B92242">
              <w:rPr>
                <w:rStyle w:val="Hyperlink"/>
                <w:rFonts w:ascii="Times New Roman" w:hAnsi="Times New Roman" w:cs="Times New Roman"/>
                <w:noProof/>
                <w:lang w:val="bg"/>
              </w:rPr>
              <w:t xml:space="preserve"> и ОРС</w:t>
            </w:r>
            <w:r w:rsidR="00B169B8">
              <w:rPr>
                <w:noProof/>
                <w:webHidden/>
              </w:rPr>
              <w:tab/>
            </w:r>
            <w:r w:rsidR="00B169B8">
              <w:rPr>
                <w:noProof/>
                <w:webHidden/>
              </w:rPr>
              <w:fldChar w:fldCharType="begin"/>
            </w:r>
            <w:r w:rsidR="00B169B8">
              <w:rPr>
                <w:noProof/>
                <w:webHidden/>
              </w:rPr>
              <w:instrText xml:space="preserve"> PAGEREF _Toc203141316 \h </w:instrText>
            </w:r>
            <w:r w:rsidR="00B169B8">
              <w:rPr>
                <w:noProof/>
                <w:webHidden/>
              </w:rPr>
            </w:r>
            <w:r w:rsidR="00B169B8">
              <w:rPr>
                <w:noProof/>
                <w:webHidden/>
              </w:rPr>
              <w:fldChar w:fldCharType="separate"/>
            </w:r>
            <w:r w:rsidR="00B169B8">
              <w:rPr>
                <w:noProof/>
                <w:webHidden/>
              </w:rPr>
              <w:t>116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7" w:history="1">
            <w:r w:rsidR="00B169B8" w:rsidRPr="00B92242">
              <w:rPr>
                <w:rStyle w:val="Hyperlink"/>
                <w:rFonts w:ascii="Times New Roman" w:eastAsia="Arial" w:hAnsi="Times New Roman" w:cs="Times New Roman"/>
                <w:noProof/>
                <w:lang w:bidi="en-US"/>
              </w:rPr>
              <w:t>5.4.5</w:t>
            </w:r>
            <w:r w:rsidR="00B169B8">
              <w:rPr>
                <w:rFonts w:eastAsiaTheme="minorEastAsia"/>
                <w:noProof/>
              </w:rPr>
              <w:tab/>
            </w:r>
            <w:r w:rsidR="00B169B8" w:rsidRPr="00B92242">
              <w:rPr>
                <w:rStyle w:val="Hyperlink"/>
                <w:rFonts w:ascii="Times New Roman" w:hAnsi="Times New Roman" w:cs="Times New Roman"/>
                <w:noProof/>
                <w:lang w:val="bg"/>
              </w:rPr>
              <w:t>Енергийни общности</w:t>
            </w:r>
            <w:r w:rsidR="00B169B8">
              <w:rPr>
                <w:noProof/>
                <w:webHidden/>
              </w:rPr>
              <w:tab/>
            </w:r>
            <w:r w:rsidR="00B169B8">
              <w:rPr>
                <w:noProof/>
                <w:webHidden/>
              </w:rPr>
              <w:fldChar w:fldCharType="begin"/>
            </w:r>
            <w:r w:rsidR="00B169B8">
              <w:rPr>
                <w:noProof/>
                <w:webHidden/>
              </w:rPr>
              <w:instrText xml:space="preserve"> PAGEREF _Toc203141317 \h </w:instrText>
            </w:r>
            <w:r w:rsidR="00B169B8">
              <w:rPr>
                <w:noProof/>
                <w:webHidden/>
              </w:rPr>
            </w:r>
            <w:r w:rsidR="00B169B8">
              <w:rPr>
                <w:noProof/>
                <w:webHidden/>
              </w:rPr>
              <w:fldChar w:fldCharType="separate"/>
            </w:r>
            <w:r w:rsidR="00B169B8">
              <w:rPr>
                <w:noProof/>
                <w:webHidden/>
              </w:rPr>
              <w:t>117</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18" w:history="1">
            <w:r w:rsidR="00B169B8" w:rsidRPr="00B92242">
              <w:rPr>
                <w:rStyle w:val="Hyperlink"/>
                <w:rFonts w:ascii="Times New Roman" w:eastAsia="Arial" w:hAnsi="Times New Roman" w:cs="Times New Roman"/>
                <w:noProof/>
                <w:lang w:bidi="en-US"/>
              </w:rPr>
              <w:t>5.5</w:t>
            </w:r>
            <w:r w:rsidR="00B169B8">
              <w:rPr>
                <w:rFonts w:eastAsiaTheme="minorEastAsia"/>
                <w:noProof/>
              </w:rPr>
              <w:tab/>
            </w:r>
            <w:r w:rsidR="00B169B8" w:rsidRPr="00B92242">
              <w:rPr>
                <w:rStyle w:val="Hyperlink"/>
                <w:rFonts w:ascii="Times New Roman" w:hAnsi="Times New Roman" w:cs="Times New Roman"/>
                <w:noProof/>
                <w:lang w:val="bg"/>
              </w:rPr>
              <w:t>Оперативни насоки и технически спецификации за управление на данните, сигурност и оперативна съвместимост</w:t>
            </w:r>
            <w:r w:rsidR="00B169B8">
              <w:rPr>
                <w:noProof/>
                <w:webHidden/>
              </w:rPr>
              <w:tab/>
            </w:r>
            <w:r w:rsidR="00B169B8">
              <w:rPr>
                <w:noProof/>
                <w:webHidden/>
              </w:rPr>
              <w:fldChar w:fldCharType="begin"/>
            </w:r>
            <w:r w:rsidR="00B169B8">
              <w:rPr>
                <w:noProof/>
                <w:webHidden/>
              </w:rPr>
              <w:instrText xml:space="preserve"> PAGEREF _Toc203141318 \h </w:instrText>
            </w:r>
            <w:r w:rsidR="00B169B8">
              <w:rPr>
                <w:noProof/>
                <w:webHidden/>
              </w:rPr>
            </w:r>
            <w:r w:rsidR="00B169B8">
              <w:rPr>
                <w:noProof/>
                <w:webHidden/>
              </w:rPr>
              <w:fldChar w:fldCharType="separate"/>
            </w:r>
            <w:r w:rsidR="00B169B8">
              <w:rPr>
                <w:noProof/>
                <w:webHidden/>
              </w:rPr>
              <w:t>118</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19" w:history="1">
            <w:r w:rsidR="00B169B8" w:rsidRPr="00B92242">
              <w:rPr>
                <w:rStyle w:val="Hyperlink"/>
                <w:rFonts w:ascii="Times New Roman" w:eastAsia="Arial" w:hAnsi="Times New Roman" w:cs="Times New Roman"/>
                <w:noProof/>
                <w:lang w:bidi="en-US"/>
              </w:rPr>
              <w:t>5.5.1</w:t>
            </w:r>
            <w:r w:rsidR="00B169B8">
              <w:rPr>
                <w:rFonts w:eastAsiaTheme="minorEastAsia"/>
                <w:noProof/>
              </w:rPr>
              <w:tab/>
            </w:r>
            <w:r w:rsidR="00B169B8" w:rsidRPr="00B92242">
              <w:rPr>
                <w:rStyle w:val="Hyperlink"/>
                <w:rFonts w:ascii="Times New Roman" w:hAnsi="Times New Roman" w:cs="Times New Roman"/>
                <w:noProof/>
                <w:lang w:val="bg"/>
              </w:rPr>
              <w:t>Достъпност на информацията в регистъра</w:t>
            </w:r>
            <w:r w:rsidR="00B169B8">
              <w:rPr>
                <w:noProof/>
                <w:webHidden/>
              </w:rPr>
              <w:tab/>
            </w:r>
            <w:r w:rsidR="00B169B8">
              <w:rPr>
                <w:noProof/>
                <w:webHidden/>
              </w:rPr>
              <w:fldChar w:fldCharType="begin"/>
            </w:r>
            <w:r w:rsidR="00B169B8">
              <w:rPr>
                <w:noProof/>
                <w:webHidden/>
              </w:rPr>
              <w:instrText xml:space="preserve"> PAGEREF _Toc203141319 \h </w:instrText>
            </w:r>
            <w:r w:rsidR="00B169B8">
              <w:rPr>
                <w:noProof/>
                <w:webHidden/>
              </w:rPr>
            </w:r>
            <w:r w:rsidR="00B169B8">
              <w:rPr>
                <w:noProof/>
                <w:webHidden/>
              </w:rPr>
              <w:fldChar w:fldCharType="separate"/>
            </w:r>
            <w:r w:rsidR="00B169B8">
              <w:rPr>
                <w:noProof/>
                <w:webHidden/>
              </w:rPr>
              <w:t>119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20" w:history="1">
            <w:r w:rsidR="00B169B8" w:rsidRPr="00B92242">
              <w:rPr>
                <w:rStyle w:val="Hyperlink"/>
                <w:rFonts w:ascii="Times New Roman" w:eastAsia="Arial" w:hAnsi="Times New Roman" w:cs="Times New Roman"/>
                <w:noProof/>
                <w:lang w:bidi="en-US"/>
              </w:rPr>
              <w:t>5.5.2</w:t>
            </w:r>
            <w:r w:rsidR="00B169B8">
              <w:rPr>
                <w:rFonts w:eastAsiaTheme="minorEastAsia"/>
                <w:noProof/>
              </w:rPr>
              <w:tab/>
            </w:r>
            <w:r w:rsidR="00B169B8" w:rsidRPr="00B92242">
              <w:rPr>
                <w:rStyle w:val="Hyperlink"/>
                <w:rFonts w:ascii="Times New Roman" w:hAnsi="Times New Roman" w:cs="Times New Roman"/>
                <w:noProof/>
              </w:rPr>
              <w:t>Възможности за географска информация за CEC и REC</w:t>
            </w:r>
            <w:r w:rsidR="00B169B8">
              <w:rPr>
                <w:noProof/>
                <w:webHidden/>
              </w:rPr>
              <w:tab/>
            </w:r>
            <w:r w:rsidR="00B169B8">
              <w:rPr>
                <w:noProof/>
                <w:webHidden/>
              </w:rPr>
              <w:fldChar w:fldCharType="begin"/>
            </w:r>
            <w:r w:rsidR="00B169B8">
              <w:rPr>
                <w:noProof/>
                <w:webHidden/>
              </w:rPr>
              <w:instrText xml:space="preserve"> PAGEREF _Toc203141320 \h </w:instrText>
            </w:r>
            <w:r w:rsidR="00B169B8">
              <w:rPr>
                <w:noProof/>
                <w:webHidden/>
              </w:rPr>
            </w:r>
            <w:r w:rsidR="00B169B8">
              <w:rPr>
                <w:noProof/>
                <w:webHidden/>
              </w:rPr>
              <w:fldChar w:fldCharType="separate"/>
            </w:r>
            <w:r w:rsidR="00B169B8">
              <w:rPr>
                <w:noProof/>
                <w:webHidden/>
              </w:rPr>
              <w:t>119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21" w:history="1">
            <w:r w:rsidR="00B169B8" w:rsidRPr="00B92242">
              <w:rPr>
                <w:rStyle w:val="Hyperlink"/>
                <w:rFonts w:ascii="Times New Roman" w:eastAsia="Arial" w:hAnsi="Times New Roman" w:cs="Times New Roman"/>
                <w:noProof/>
                <w:lang w:bidi="en-US"/>
              </w:rPr>
              <w:t>5.5.3</w:t>
            </w:r>
            <w:r w:rsidR="00B169B8">
              <w:rPr>
                <w:rFonts w:eastAsiaTheme="minorEastAsia"/>
                <w:noProof/>
              </w:rPr>
              <w:tab/>
            </w:r>
            <w:r w:rsidR="00B169B8" w:rsidRPr="00B92242">
              <w:rPr>
                <w:rStyle w:val="Hyperlink"/>
                <w:rFonts w:ascii="Times New Roman" w:hAnsi="Times New Roman" w:cs="Times New Roman"/>
                <w:noProof/>
                <w:lang w:val="bg"/>
              </w:rPr>
              <w:t>Сигурност и оперативна съвместимост</w:t>
            </w:r>
            <w:r w:rsidR="00B169B8">
              <w:rPr>
                <w:noProof/>
                <w:webHidden/>
              </w:rPr>
              <w:tab/>
            </w:r>
            <w:r w:rsidR="00B169B8">
              <w:rPr>
                <w:noProof/>
                <w:webHidden/>
              </w:rPr>
              <w:fldChar w:fldCharType="begin"/>
            </w:r>
            <w:r w:rsidR="00B169B8">
              <w:rPr>
                <w:noProof/>
                <w:webHidden/>
              </w:rPr>
              <w:instrText xml:space="preserve"> PAGEREF _Toc203141321 \h </w:instrText>
            </w:r>
            <w:r w:rsidR="00B169B8">
              <w:rPr>
                <w:noProof/>
                <w:webHidden/>
              </w:rPr>
            </w:r>
            <w:r w:rsidR="00B169B8">
              <w:rPr>
                <w:noProof/>
                <w:webHidden/>
              </w:rPr>
              <w:fldChar w:fldCharType="separate"/>
            </w:r>
            <w:r w:rsidR="00B169B8">
              <w:rPr>
                <w:noProof/>
                <w:webHidden/>
              </w:rPr>
              <w:t>123</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22" w:history="1">
            <w:r w:rsidR="00B169B8" w:rsidRPr="00B92242">
              <w:rPr>
                <w:rStyle w:val="Hyperlink"/>
                <w:rFonts w:ascii="Times New Roman" w:hAnsi="Times New Roman" w:cs="Times New Roman"/>
                <w:noProof/>
                <w:lang w:val="bg"/>
              </w:rPr>
              <w:t>5.6</w:t>
            </w:r>
            <w:r w:rsidR="00B169B8">
              <w:rPr>
                <w:rFonts w:eastAsiaTheme="minorEastAsia"/>
                <w:noProof/>
              </w:rPr>
              <w:tab/>
            </w:r>
            <w:r w:rsidR="00B169B8" w:rsidRPr="00B92242">
              <w:rPr>
                <w:rStyle w:val="Hyperlink"/>
                <w:rFonts w:ascii="Times New Roman" w:hAnsi="Times New Roman" w:cs="Times New Roman"/>
                <w:noProof/>
                <w:lang w:val="bg"/>
              </w:rPr>
              <w:t>Софтуер за вземане на решения, който би могъл да се използва в полза на бъдещите членове на енергийната общност по пътя им към създаване и регистриране на енергийна общност</w:t>
            </w:r>
            <w:r w:rsidR="00B169B8">
              <w:rPr>
                <w:noProof/>
                <w:webHidden/>
              </w:rPr>
              <w:tab/>
            </w:r>
            <w:r w:rsidR="00B169B8">
              <w:rPr>
                <w:noProof/>
                <w:webHidden/>
              </w:rPr>
              <w:fldChar w:fldCharType="begin"/>
            </w:r>
            <w:r w:rsidR="00B169B8">
              <w:rPr>
                <w:noProof/>
                <w:webHidden/>
              </w:rPr>
              <w:instrText xml:space="preserve"> PAGEREF _Toc203141322 \h </w:instrText>
            </w:r>
            <w:r w:rsidR="00B169B8">
              <w:rPr>
                <w:noProof/>
                <w:webHidden/>
              </w:rPr>
            </w:r>
            <w:r w:rsidR="00B169B8">
              <w:rPr>
                <w:noProof/>
                <w:webHidden/>
              </w:rPr>
              <w:fldChar w:fldCharType="separate"/>
            </w:r>
            <w:r w:rsidR="00B169B8">
              <w:rPr>
                <w:noProof/>
                <w:webHidden/>
              </w:rPr>
              <w:t>134</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3" w:history="1">
            <w:r w:rsidR="00B169B8" w:rsidRPr="00B92242">
              <w:rPr>
                <w:rStyle w:val="Hyperlink"/>
                <w:rFonts w:ascii="Times New Roman" w:hAnsi="Times New Roman" w:cs="Times New Roman"/>
                <w:noProof/>
                <w:lang w:val="bg"/>
              </w:rPr>
              <w:t>5.6.1 Основни функции</w:t>
            </w:r>
            <w:r w:rsidR="00B169B8">
              <w:rPr>
                <w:noProof/>
                <w:webHidden/>
              </w:rPr>
              <w:tab/>
            </w:r>
            <w:r w:rsidR="00B169B8">
              <w:rPr>
                <w:noProof/>
                <w:webHidden/>
              </w:rPr>
              <w:fldChar w:fldCharType="begin"/>
            </w:r>
            <w:r w:rsidR="00B169B8">
              <w:rPr>
                <w:noProof/>
                <w:webHidden/>
              </w:rPr>
              <w:instrText xml:space="preserve"> PAGEREF _Toc203141323 \h </w:instrText>
            </w:r>
            <w:r w:rsidR="00B169B8">
              <w:rPr>
                <w:noProof/>
                <w:webHidden/>
              </w:rPr>
            </w:r>
            <w:r w:rsidR="00B169B8">
              <w:rPr>
                <w:noProof/>
                <w:webHidden/>
              </w:rPr>
              <w:fldChar w:fldCharType="separate"/>
            </w:r>
            <w:r w:rsidR="00B169B8">
              <w:rPr>
                <w:noProof/>
                <w:webHidden/>
              </w:rPr>
              <w:t>135</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4" w:history="1">
            <w:r w:rsidR="00B169B8" w:rsidRPr="00B92242">
              <w:rPr>
                <w:rStyle w:val="Hyperlink"/>
                <w:rFonts w:ascii="Times New Roman" w:hAnsi="Times New Roman" w:cs="Times New Roman"/>
                <w:noProof/>
                <w:lang w:val="bg"/>
              </w:rPr>
              <w:t>5.6.2 Безплатна пробна версия и опции за приложение</w:t>
            </w:r>
            <w:r w:rsidR="00B169B8">
              <w:rPr>
                <w:noProof/>
                <w:webHidden/>
              </w:rPr>
              <w:tab/>
            </w:r>
            <w:r w:rsidR="00B169B8">
              <w:rPr>
                <w:noProof/>
                <w:webHidden/>
              </w:rPr>
              <w:fldChar w:fldCharType="begin"/>
            </w:r>
            <w:r w:rsidR="00B169B8">
              <w:rPr>
                <w:noProof/>
                <w:webHidden/>
              </w:rPr>
              <w:instrText xml:space="preserve"> PAGEREF _Toc203141324 \h </w:instrText>
            </w:r>
            <w:r w:rsidR="00B169B8">
              <w:rPr>
                <w:noProof/>
                <w:webHidden/>
              </w:rPr>
            </w:r>
            <w:r w:rsidR="00B169B8">
              <w:rPr>
                <w:noProof/>
                <w:webHidden/>
              </w:rPr>
              <w:fldChar w:fldCharType="separate"/>
            </w:r>
            <w:r w:rsidR="00B169B8">
              <w:rPr>
                <w:noProof/>
                <w:webHidden/>
              </w:rPr>
              <w:t>136</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5" w:history="1">
            <w:r w:rsidR="00B169B8" w:rsidRPr="00B92242">
              <w:rPr>
                <w:rStyle w:val="Hyperlink"/>
                <w:rFonts w:ascii="Times New Roman" w:hAnsi="Times New Roman" w:cs="Times New Roman"/>
                <w:noProof/>
                <w:lang w:val="bg"/>
              </w:rPr>
              <w:t>5.6.3 Документация</w:t>
            </w:r>
            <w:r w:rsidR="00B169B8">
              <w:rPr>
                <w:noProof/>
                <w:webHidden/>
              </w:rPr>
              <w:tab/>
            </w:r>
            <w:r w:rsidR="00B169B8">
              <w:rPr>
                <w:noProof/>
                <w:webHidden/>
              </w:rPr>
              <w:fldChar w:fldCharType="begin"/>
            </w:r>
            <w:r w:rsidR="00B169B8">
              <w:rPr>
                <w:noProof/>
                <w:webHidden/>
              </w:rPr>
              <w:instrText xml:space="preserve"> PAGEREF _Toc203141325 \h </w:instrText>
            </w:r>
            <w:r w:rsidR="00B169B8">
              <w:rPr>
                <w:noProof/>
                <w:webHidden/>
              </w:rPr>
            </w:r>
            <w:r w:rsidR="00B169B8">
              <w:rPr>
                <w:noProof/>
                <w:webHidden/>
              </w:rPr>
              <w:fldChar w:fldCharType="separate"/>
            </w:r>
            <w:r w:rsidR="00B169B8">
              <w:rPr>
                <w:noProof/>
                <w:webHidden/>
              </w:rPr>
              <w:t>139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6" w:history="1">
            <w:r w:rsidR="00B169B8" w:rsidRPr="00B92242">
              <w:rPr>
                <w:rStyle w:val="Hyperlink"/>
                <w:rFonts w:ascii="Times New Roman" w:hAnsi="Times New Roman" w:cs="Times New Roman"/>
                <w:noProof/>
                <w:lang w:val="bg"/>
              </w:rPr>
              <w:t>5.6.4 Софтуер за управление на енергията</w:t>
            </w:r>
            <w:r w:rsidR="00B169B8">
              <w:rPr>
                <w:noProof/>
                <w:webHidden/>
              </w:rPr>
              <w:tab/>
            </w:r>
            <w:r w:rsidR="00B169B8">
              <w:rPr>
                <w:noProof/>
                <w:webHidden/>
              </w:rPr>
              <w:fldChar w:fldCharType="begin"/>
            </w:r>
            <w:r w:rsidR="00B169B8">
              <w:rPr>
                <w:noProof/>
                <w:webHidden/>
              </w:rPr>
              <w:instrText xml:space="preserve"> PAGEREF _Toc203141326 \h </w:instrText>
            </w:r>
            <w:r w:rsidR="00B169B8">
              <w:rPr>
                <w:noProof/>
                <w:webHidden/>
              </w:rPr>
            </w:r>
            <w:r w:rsidR="00B169B8">
              <w:rPr>
                <w:noProof/>
                <w:webHidden/>
              </w:rPr>
              <w:fldChar w:fldCharType="separate"/>
            </w:r>
            <w:r w:rsidR="00B169B8">
              <w:rPr>
                <w:noProof/>
                <w:webHidden/>
              </w:rPr>
              <w:t>139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7" w:history="1">
            <w:r w:rsidR="00B169B8" w:rsidRPr="00B92242">
              <w:rPr>
                <w:rStyle w:val="Hyperlink"/>
                <w:rFonts w:ascii="Times New Roman" w:hAnsi="Times New Roman" w:cs="Times New Roman"/>
                <w:noProof/>
                <w:lang w:val="bg"/>
              </w:rPr>
              <w:t>5.6.5 Отворена система за управление на енергията</w:t>
            </w:r>
            <w:r w:rsidR="00B169B8">
              <w:rPr>
                <w:noProof/>
                <w:webHidden/>
              </w:rPr>
              <w:tab/>
            </w:r>
            <w:r w:rsidR="00B169B8">
              <w:rPr>
                <w:noProof/>
                <w:webHidden/>
              </w:rPr>
              <w:fldChar w:fldCharType="begin"/>
            </w:r>
            <w:r w:rsidR="00B169B8">
              <w:rPr>
                <w:noProof/>
                <w:webHidden/>
              </w:rPr>
              <w:instrText xml:space="preserve"> PAGEREF _Toc203141327 \h </w:instrText>
            </w:r>
            <w:r w:rsidR="00B169B8">
              <w:rPr>
                <w:noProof/>
                <w:webHidden/>
              </w:rPr>
            </w:r>
            <w:r w:rsidR="00B169B8">
              <w:rPr>
                <w:noProof/>
                <w:webHidden/>
              </w:rPr>
              <w:fldChar w:fldCharType="separate"/>
            </w:r>
            <w:r w:rsidR="00B169B8">
              <w:rPr>
                <w:noProof/>
                <w:webHidden/>
              </w:rPr>
              <w:t>139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8" w:history="1">
            <w:r w:rsidR="00B169B8" w:rsidRPr="00B92242">
              <w:rPr>
                <w:rStyle w:val="Hyperlink"/>
                <w:rFonts w:ascii="Times New Roman" w:hAnsi="Times New Roman" w:cs="Times New Roman"/>
                <w:noProof/>
                <w:lang w:val="bg"/>
              </w:rPr>
              <w:t>5.6.6 OpenEMS IoT стек</w:t>
            </w:r>
            <w:r w:rsidR="00B169B8">
              <w:rPr>
                <w:noProof/>
                <w:webHidden/>
              </w:rPr>
              <w:tab/>
            </w:r>
            <w:r w:rsidR="00B169B8">
              <w:rPr>
                <w:noProof/>
                <w:webHidden/>
              </w:rPr>
              <w:fldChar w:fldCharType="begin"/>
            </w:r>
            <w:r w:rsidR="00B169B8">
              <w:rPr>
                <w:noProof/>
                <w:webHidden/>
              </w:rPr>
              <w:instrText xml:space="preserve"> PAGEREF _Toc203141328 \h </w:instrText>
            </w:r>
            <w:r w:rsidR="00B169B8">
              <w:rPr>
                <w:noProof/>
                <w:webHidden/>
              </w:rPr>
            </w:r>
            <w:r w:rsidR="00B169B8">
              <w:rPr>
                <w:noProof/>
                <w:webHidden/>
              </w:rPr>
              <w:fldChar w:fldCharType="separate"/>
            </w:r>
            <w:r w:rsidR="00B169B8">
              <w:rPr>
                <w:noProof/>
                <w:webHidden/>
              </w:rPr>
              <w:t>141</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29" w:history="1">
            <w:r w:rsidR="00B169B8" w:rsidRPr="00B92242">
              <w:rPr>
                <w:rStyle w:val="Hyperlink"/>
                <w:rFonts w:ascii="Times New Roman" w:hAnsi="Times New Roman" w:cs="Times New Roman"/>
                <w:noProof/>
                <w:lang w:val="bg"/>
              </w:rPr>
              <w:t>5.6.7 Архитектура на системата</w:t>
            </w:r>
            <w:r w:rsidR="00B169B8">
              <w:rPr>
                <w:noProof/>
                <w:webHidden/>
              </w:rPr>
              <w:tab/>
            </w:r>
            <w:r w:rsidR="00B169B8">
              <w:rPr>
                <w:noProof/>
                <w:webHidden/>
              </w:rPr>
              <w:fldChar w:fldCharType="begin"/>
            </w:r>
            <w:r w:rsidR="00B169B8">
              <w:rPr>
                <w:noProof/>
                <w:webHidden/>
              </w:rPr>
              <w:instrText xml:space="preserve"> PAGEREF _Toc203141329 \h </w:instrText>
            </w:r>
            <w:r w:rsidR="00B169B8">
              <w:rPr>
                <w:noProof/>
                <w:webHidden/>
              </w:rPr>
            </w:r>
            <w:r w:rsidR="00B169B8">
              <w:rPr>
                <w:noProof/>
                <w:webHidden/>
              </w:rPr>
              <w:fldChar w:fldCharType="separate"/>
            </w:r>
            <w:r w:rsidR="00B169B8">
              <w:rPr>
                <w:noProof/>
                <w:webHidden/>
              </w:rPr>
              <w:t>142</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30" w:history="1">
            <w:r w:rsidR="00B169B8" w:rsidRPr="00B92242">
              <w:rPr>
                <w:rStyle w:val="Hyperlink"/>
                <w:rFonts w:ascii="Times New Roman" w:hAnsi="Times New Roman" w:cs="Times New Roman"/>
                <w:noProof/>
              </w:rPr>
              <w:t xml:space="preserve">5.6.8 </w:t>
            </w:r>
            <w:r w:rsidR="00B169B8" w:rsidRPr="00B92242">
              <w:rPr>
                <w:rStyle w:val="Hyperlink"/>
                <w:rFonts w:ascii="Times New Roman" w:hAnsi="Times New Roman" w:cs="Times New Roman"/>
                <w:noProof/>
                <w:lang w:val="bg-BG"/>
              </w:rPr>
              <w:t>Насоки за развитие</w:t>
            </w:r>
            <w:r w:rsidR="00B169B8">
              <w:rPr>
                <w:noProof/>
                <w:webHidden/>
              </w:rPr>
              <w:tab/>
            </w:r>
            <w:r w:rsidR="00B169B8">
              <w:rPr>
                <w:noProof/>
                <w:webHidden/>
              </w:rPr>
              <w:fldChar w:fldCharType="begin"/>
            </w:r>
            <w:r w:rsidR="00B169B8">
              <w:rPr>
                <w:noProof/>
                <w:webHidden/>
              </w:rPr>
              <w:instrText xml:space="preserve"> PAGEREF _Toc203141330 \h </w:instrText>
            </w:r>
            <w:r w:rsidR="00B169B8">
              <w:rPr>
                <w:noProof/>
                <w:webHidden/>
              </w:rPr>
            </w:r>
            <w:r w:rsidR="00B169B8">
              <w:rPr>
                <w:noProof/>
                <w:webHidden/>
              </w:rPr>
              <w:fldChar w:fldCharType="separate"/>
            </w:r>
            <w:r w:rsidR="00B169B8">
              <w:rPr>
                <w:noProof/>
                <w:webHidden/>
              </w:rPr>
              <w:t>143</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31" w:history="1">
            <w:r w:rsidR="00B169B8" w:rsidRPr="00B92242">
              <w:rPr>
                <w:rStyle w:val="Hyperlink"/>
                <w:rFonts w:ascii="Times New Roman" w:hAnsi="Times New Roman" w:cs="Times New Roman"/>
                <w:noProof/>
                <w:lang w:val="bg"/>
              </w:rPr>
              <w:t>5.6.9  Философия на отворения код</w:t>
            </w:r>
            <w:r w:rsidR="00B169B8">
              <w:rPr>
                <w:noProof/>
                <w:webHidden/>
              </w:rPr>
              <w:tab/>
            </w:r>
            <w:r w:rsidR="00B169B8">
              <w:rPr>
                <w:noProof/>
                <w:webHidden/>
              </w:rPr>
              <w:fldChar w:fldCharType="begin"/>
            </w:r>
            <w:r w:rsidR="00B169B8">
              <w:rPr>
                <w:noProof/>
                <w:webHidden/>
              </w:rPr>
              <w:instrText xml:space="preserve"> PAGEREF _Toc203141331 \h </w:instrText>
            </w:r>
            <w:r w:rsidR="00B169B8">
              <w:rPr>
                <w:noProof/>
                <w:webHidden/>
              </w:rPr>
            </w:r>
            <w:r w:rsidR="00B169B8">
              <w:rPr>
                <w:noProof/>
                <w:webHidden/>
              </w:rPr>
              <w:fldChar w:fldCharType="separate"/>
            </w:r>
            <w:r w:rsidR="00B169B8">
              <w:rPr>
                <w:noProof/>
                <w:webHidden/>
              </w:rPr>
              <w:t>143</w:t>
            </w:r>
            <w:r w:rsidR="00B169B8">
              <w:rPr>
                <w:noProof/>
                <w:webHidden/>
              </w:rPr>
              <w:fldChar w:fldCharType="end"/>
            </w:r>
          </w:hyperlink>
        </w:p>
        <w:p w:rsidR="00B169B8" w:rsidRDefault="00567EA3">
          <w:pPr>
            <w:pStyle w:val="TOC1"/>
            <w:tabs>
              <w:tab w:val="left" w:pos="440"/>
              <w:tab w:val="right" w:leader="dot" w:pos="9367"/>
            </w:tabs>
            <w:rPr>
              <w:rFonts w:eastAsiaTheme="minorEastAsia"/>
              <w:noProof/>
            </w:rPr>
          </w:pPr>
          <w:hyperlink w:anchor="_Toc203141332" w:history="1">
            <w:r w:rsidR="00B169B8" w:rsidRPr="00B92242">
              <w:rPr>
                <w:rStyle w:val="Hyperlink"/>
                <w:rFonts w:ascii="Times New Roman" w:hAnsi="Times New Roman" w:cs="Times New Roman"/>
                <w:noProof/>
                <w:lang w:val="bg"/>
              </w:rPr>
              <w:t>6</w:t>
            </w:r>
            <w:r w:rsidR="00B169B8">
              <w:rPr>
                <w:rFonts w:eastAsiaTheme="minorEastAsia"/>
                <w:noProof/>
              </w:rPr>
              <w:tab/>
            </w:r>
            <w:r w:rsidR="00B169B8" w:rsidRPr="00B92242">
              <w:rPr>
                <w:rStyle w:val="Hyperlink"/>
                <w:rFonts w:ascii="Times New Roman" w:hAnsi="Times New Roman" w:cs="Times New Roman"/>
                <w:noProof/>
                <w:lang w:val="bg"/>
              </w:rPr>
              <w:t>Позовавания на най-добри практики от други държави, които са напреднали по темата за енергийната общност и използват платформи за данни от този вид</w:t>
            </w:r>
            <w:r w:rsidR="00B169B8">
              <w:rPr>
                <w:noProof/>
                <w:webHidden/>
              </w:rPr>
              <w:tab/>
            </w:r>
            <w:r w:rsidR="00B169B8">
              <w:rPr>
                <w:noProof/>
                <w:webHidden/>
              </w:rPr>
              <w:fldChar w:fldCharType="begin"/>
            </w:r>
            <w:r w:rsidR="00B169B8">
              <w:rPr>
                <w:noProof/>
                <w:webHidden/>
              </w:rPr>
              <w:instrText xml:space="preserve"> PAGEREF _Toc203141332 \h </w:instrText>
            </w:r>
            <w:r w:rsidR="00B169B8">
              <w:rPr>
                <w:noProof/>
                <w:webHidden/>
              </w:rPr>
            </w:r>
            <w:r w:rsidR="00B169B8">
              <w:rPr>
                <w:noProof/>
                <w:webHidden/>
              </w:rPr>
              <w:fldChar w:fldCharType="separate"/>
            </w:r>
            <w:r w:rsidR="00B169B8">
              <w:rPr>
                <w:noProof/>
                <w:webHidden/>
              </w:rPr>
              <w:t>144</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33" w:history="1">
            <w:r w:rsidR="00B169B8" w:rsidRPr="00B92242">
              <w:rPr>
                <w:rStyle w:val="Hyperlink"/>
                <w:rFonts w:ascii="Times New Roman" w:hAnsi="Times New Roman" w:cs="Times New Roman"/>
                <w:noProof/>
                <w:lang w:val="bg-BG"/>
              </w:rPr>
              <w:t xml:space="preserve">6.1  </w:t>
            </w:r>
            <w:r w:rsidR="00B169B8" w:rsidRPr="00B92242">
              <w:rPr>
                <w:rStyle w:val="Hyperlink"/>
                <w:rFonts w:ascii="Times New Roman" w:hAnsi="Times New Roman" w:cs="Times New Roman"/>
                <w:noProof/>
              </w:rPr>
              <w:t>Франция</w:t>
            </w:r>
            <w:r w:rsidR="00B169B8">
              <w:rPr>
                <w:noProof/>
                <w:webHidden/>
              </w:rPr>
              <w:tab/>
            </w:r>
            <w:r w:rsidR="00B169B8">
              <w:rPr>
                <w:noProof/>
                <w:webHidden/>
              </w:rPr>
              <w:fldChar w:fldCharType="begin"/>
            </w:r>
            <w:r w:rsidR="00B169B8">
              <w:rPr>
                <w:noProof/>
                <w:webHidden/>
              </w:rPr>
              <w:instrText xml:space="preserve"> PAGEREF _Toc203141333 \h </w:instrText>
            </w:r>
            <w:r w:rsidR="00B169B8">
              <w:rPr>
                <w:noProof/>
                <w:webHidden/>
              </w:rPr>
            </w:r>
            <w:r w:rsidR="00B169B8">
              <w:rPr>
                <w:noProof/>
                <w:webHidden/>
              </w:rPr>
              <w:fldChar w:fldCharType="separate"/>
            </w:r>
            <w:r w:rsidR="00B169B8">
              <w:rPr>
                <w:noProof/>
                <w:webHidden/>
              </w:rPr>
              <w:t>144</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34" w:history="1">
            <w:r w:rsidR="00B169B8" w:rsidRPr="00B92242">
              <w:rPr>
                <w:rStyle w:val="Hyperlink"/>
                <w:rFonts w:ascii="Times New Roman" w:hAnsi="Times New Roman" w:cs="Times New Roman"/>
                <w:noProof/>
                <w:lang w:val="bg"/>
              </w:rPr>
              <w:t>6.1.1 Правна рамка Франция</w:t>
            </w:r>
            <w:r w:rsidR="00B169B8">
              <w:rPr>
                <w:noProof/>
                <w:webHidden/>
              </w:rPr>
              <w:tab/>
            </w:r>
            <w:r w:rsidR="00B169B8">
              <w:rPr>
                <w:noProof/>
                <w:webHidden/>
              </w:rPr>
              <w:fldChar w:fldCharType="begin"/>
            </w:r>
            <w:r w:rsidR="00B169B8">
              <w:rPr>
                <w:noProof/>
                <w:webHidden/>
              </w:rPr>
              <w:instrText xml:space="preserve"> PAGEREF _Toc203141334 \h </w:instrText>
            </w:r>
            <w:r w:rsidR="00B169B8">
              <w:rPr>
                <w:noProof/>
                <w:webHidden/>
              </w:rPr>
            </w:r>
            <w:r w:rsidR="00B169B8">
              <w:rPr>
                <w:noProof/>
                <w:webHidden/>
              </w:rPr>
              <w:fldChar w:fldCharType="separate"/>
            </w:r>
            <w:r w:rsidR="00B169B8">
              <w:rPr>
                <w:noProof/>
                <w:webHidden/>
              </w:rPr>
              <w:t>144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35" w:history="1">
            <w:r w:rsidR="00B169B8" w:rsidRPr="00B92242">
              <w:rPr>
                <w:rStyle w:val="Hyperlink"/>
                <w:rFonts w:ascii="Times New Roman" w:hAnsi="Times New Roman" w:cs="Times New Roman"/>
                <w:noProof/>
                <w:lang w:val="bg"/>
              </w:rPr>
              <w:t>6.1.2</w:t>
            </w:r>
            <w:r w:rsidR="00B169B8">
              <w:rPr>
                <w:rFonts w:eastAsiaTheme="minorEastAsia"/>
                <w:noProof/>
              </w:rPr>
              <w:tab/>
            </w:r>
            <w:r w:rsidR="00B169B8" w:rsidRPr="00B92242">
              <w:rPr>
                <w:rStyle w:val="Hyperlink"/>
                <w:rFonts w:ascii="Times New Roman" w:hAnsi="Times New Roman" w:cs="Times New Roman"/>
                <w:noProof/>
                <w:lang w:val="bg"/>
              </w:rPr>
              <w:t>Интелигентни измервателни уреди и платформи за данни</w:t>
            </w:r>
            <w:r w:rsidR="00B169B8">
              <w:rPr>
                <w:noProof/>
                <w:webHidden/>
              </w:rPr>
              <w:tab/>
            </w:r>
            <w:r w:rsidR="00B169B8">
              <w:rPr>
                <w:noProof/>
                <w:webHidden/>
              </w:rPr>
              <w:fldChar w:fldCharType="begin"/>
            </w:r>
            <w:r w:rsidR="00B169B8">
              <w:rPr>
                <w:noProof/>
                <w:webHidden/>
              </w:rPr>
              <w:instrText xml:space="preserve"> PAGEREF _Toc203141335 \h </w:instrText>
            </w:r>
            <w:r w:rsidR="00B169B8">
              <w:rPr>
                <w:noProof/>
                <w:webHidden/>
              </w:rPr>
            </w:r>
            <w:r w:rsidR="00B169B8">
              <w:rPr>
                <w:noProof/>
                <w:webHidden/>
              </w:rPr>
              <w:fldChar w:fldCharType="separate"/>
            </w:r>
            <w:r w:rsidR="00B169B8">
              <w:rPr>
                <w:noProof/>
                <w:webHidden/>
              </w:rPr>
              <w:t>146</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36" w:history="1">
            <w:r w:rsidR="00B169B8" w:rsidRPr="00B92242">
              <w:rPr>
                <w:rStyle w:val="Hyperlink"/>
                <w:rFonts w:ascii="Times New Roman" w:hAnsi="Times New Roman" w:cs="Times New Roman"/>
                <w:noProof/>
                <w:lang w:val="bg"/>
              </w:rPr>
              <w:t>6.2</w:t>
            </w:r>
            <w:r w:rsidR="00B169B8">
              <w:rPr>
                <w:rFonts w:eastAsiaTheme="minorEastAsia"/>
                <w:noProof/>
              </w:rPr>
              <w:tab/>
            </w:r>
            <w:r w:rsidR="00B169B8" w:rsidRPr="00B92242">
              <w:rPr>
                <w:rStyle w:val="Hyperlink"/>
                <w:rFonts w:ascii="Times New Roman" w:hAnsi="Times New Roman" w:cs="Times New Roman"/>
                <w:noProof/>
                <w:lang w:val="bg"/>
              </w:rPr>
              <w:t>Германия</w:t>
            </w:r>
            <w:r w:rsidR="00B169B8">
              <w:rPr>
                <w:noProof/>
                <w:webHidden/>
              </w:rPr>
              <w:tab/>
            </w:r>
            <w:r w:rsidR="00B169B8">
              <w:rPr>
                <w:noProof/>
                <w:webHidden/>
              </w:rPr>
              <w:fldChar w:fldCharType="begin"/>
            </w:r>
            <w:r w:rsidR="00B169B8">
              <w:rPr>
                <w:noProof/>
                <w:webHidden/>
              </w:rPr>
              <w:instrText xml:space="preserve"> PAGEREF _Toc203141336 \h </w:instrText>
            </w:r>
            <w:r w:rsidR="00B169B8">
              <w:rPr>
                <w:noProof/>
                <w:webHidden/>
              </w:rPr>
            </w:r>
            <w:r w:rsidR="00B169B8">
              <w:rPr>
                <w:noProof/>
                <w:webHidden/>
              </w:rPr>
              <w:fldChar w:fldCharType="separate"/>
            </w:r>
            <w:r w:rsidR="00B169B8">
              <w:rPr>
                <w:noProof/>
                <w:webHidden/>
              </w:rPr>
              <w:t>149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37" w:history="1">
            <w:r w:rsidR="00B169B8" w:rsidRPr="00B92242">
              <w:rPr>
                <w:rStyle w:val="Hyperlink"/>
                <w:rFonts w:ascii="Times New Roman" w:hAnsi="Times New Roman" w:cs="Times New Roman"/>
                <w:noProof/>
                <w:lang w:val="bg"/>
              </w:rPr>
              <w:t>6.2.1</w:t>
            </w:r>
            <w:r w:rsidR="00B169B8">
              <w:rPr>
                <w:rFonts w:eastAsiaTheme="minorEastAsia"/>
                <w:noProof/>
              </w:rPr>
              <w:tab/>
            </w:r>
            <w:r w:rsidR="00B169B8" w:rsidRPr="00B92242">
              <w:rPr>
                <w:rStyle w:val="Hyperlink"/>
                <w:rFonts w:ascii="Times New Roman" w:hAnsi="Times New Roman" w:cs="Times New Roman"/>
                <w:noProof/>
                <w:lang w:val="bg"/>
              </w:rPr>
              <w:t>Правна рамка Германия</w:t>
            </w:r>
            <w:r w:rsidR="00B169B8">
              <w:rPr>
                <w:noProof/>
                <w:webHidden/>
              </w:rPr>
              <w:tab/>
            </w:r>
            <w:r w:rsidR="00B169B8">
              <w:rPr>
                <w:noProof/>
                <w:webHidden/>
              </w:rPr>
              <w:fldChar w:fldCharType="begin"/>
            </w:r>
            <w:r w:rsidR="00B169B8">
              <w:rPr>
                <w:noProof/>
                <w:webHidden/>
              </w:rPr>
              <w:instrText xml:space="preserve"> PAGEREF _Toc203141337 \h </w:instrText>
            </w:r>
            <w:r w:rsidR="00B169B8">
              <w:rPr>
                <w:noProof/>
                <w:webHidden/>
              </w:rPr>
            </w:r>
            <w:r w:rsidR="00B169B8">
              <w:rPr>
                <w:noProof/>
                <w:webHidden/>
              </w:rPr>
              <w:fldChar w:fldCharType="separate"/>
            </w:r>
            <w:r w:rsidR="00B169B8">
              <w:rPr>
                <w:noProof/>
                <w:webHidden/>
              </w:rPr>
              <w:t>149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38" w:history="1">
            <w:r w:rsidR="00B169B8" w:rsidRPr="00B92242">
              <w:rPr>
                <w:rStyle w:val="Hyperlink"/>
                <w:rFonts w:ascii="Times New Roman" w:hAnsi="Times New Roman" w:cs="Times New Roman"/>
                <w:noProof/>
                <w:lang w:val="bg"/>
              </w:rPr>
              <w:t>6.3.1</w:t>
            </w:r>
            <w:r w:rsidR="00B169B8">
              <w:rPr>
                <w:rFonts w:eastAsiaTheme="minorEastAsia"/>
                <w:noProof/>
              </w:rPr>
              <w:tab/>
            </w:r>
            <w:r w:rsidR="00B169B8" w:rsidRPr="00B92242">
              <w:rPr>
                <w:rStyle w:val="Hyperlink"/>
                <w:rFonts w:ascii="Times New Roman" w:hAnsi="Times New Roman" w:cs="Times New Roman"/>
                <w:noProof/>
                <w:lang w:val="bg"/>
              </w:rPr>
              <w:t>Правна рамка</w:t>
            </w:r>
            <w:r w:rsidR="00B169B8">
              <w:rPr>
                <w:noProof/>
                <w:webHidden/>
              </w:rPr>
              <w:tab/>
            </w:r>
            <w:r w:rsidR="00B169B8">
              <w:rPr>
                <w:noProof/>
                <w:webHidden/>
              </w:rPr>
              <w:fldChar w:fldCharType="begin"/>
            </w:r>
            <w:r w:rsidR="00B169B8">
              <w:rPr>
                <w:noProof/>
                <w:webHidden/>
              </w:rPr>
              <w:instrText xml:space="preserve"> PAGEREF _Toc203141338 \h </w:instrText>
            </w:r>
            <w:r w:rsidR="00B169B8">
              <w:rPr>
                <w:noProof/>
                <w:webHidden/>
              </w:rPr>
            </w:r>
            <w:r w:rsidR="00B169B8">
              <w:rPr>
                <w:noProof/>
                <w:webHidden/>
              </w:rPr>
              <w:fldChar w:fldCharType="separate"/>
            </w:r>
            <w:r w:rsidR="00B169B8">
              <w:rPr>
                <w:noProof/>
                <w:webHidden/>
              </w:rPr>
              <w:t>152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39" w:history="1">
            <w:r w:rsidR="00B169B8" w:rsidRPr="00B92242">
              <w:rPr>
                <w:rStyle w:val="Hyperlink"/>
                <w:rFonts w:ascii="Times New Roman" w:hAnsi="Times New Roman" w:cs="Times New Roman"/>
                <w:noProof/>
                <w:lang w:val="bg"/>
              </w:rPr>
              <w:t>6.3.2</w:t>
            </w:r>
            <w:r w:rsidR="00B169B8">
              <w:rPr>
                <w:rFonts w:eastAsiaTheme="minorEastAsia"/>
                <w:noProof/>
              </w:rPr>
              <w:tab/>
            </w:r>
            <w:r w:rsidR="00B169B8" w:rsidRPr="00B92242">
              <w:rPr>
                <w:rStyle w:val="Hyperlink"/>
                <w:rFonts w:ascii="Times New Roman" w:hAnsi="Times New Roman" w:cs="Times New Roman"/>
                <w:noProof/>
                <w:lang w:val="bg"/>
              </w:rPr>
              <w:t>Интелигентни измервателни уреди и платформи за данни</w:t>
            </w:r>
            <w:r w:rsidR="00B169B8">
              <w:rPr>
                <w:noProof/>
                <w:webHidden/>
              </w:rPr>
              <w:tab/>
            </w:r>
            <w:r w:rsidR="00B169B8">
              <w:rPr>
                <w:noProof/>
                <w:webHidden/>
              </w:rPr>
              <w:fldChar w:fldCharType="begin"/>
            </w:r>
            <w:r w:rsidR="00B169B8">
              <w:rPr>
                <w:noProof/>
                <w:webHidden/>
              </w:rPr>
              <w:instrText xml:space="preserve"> PAGEREF _Toc203141339 \h </w:instrText>
            </w:r>
            <w:r w:rsidR="00B169B8">
              <w:rPr>
                <w:noProof/>
                <w:webHidden/>
              </w:rPr>
            </w:r>
            <w:r w:rsidR="00B169B8">
              <w:rPr>
                <w:noProof/>
                <w:webHidden/>
              </w:rPr>
              <w:fldChar w:fldCharType="separate"/>
            </w:r>
            <w:r w:rsidR="00B169B8">
              <w:rPr>
                <w:noProof/>
                <w:webHidden/>
              </w:rPr>
              <w:t>153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40" w:history="1">
            <w:r w:rsidR="00B169B8" w:rsidRPr="00B92242">
              <w:rPr>
                <w:rStyle w:val="Hyperlink"/>
                <w:rFonts w:ascii="Times New Roman" w:hAnsi="Times New Roman" w:cs="Times New Roman"/>
                <w:noProof/>
                <w:lang w:val="bg"/>
              </w:rPr>
              <w:t>6.3.3</w:t>
            </w:r>
            <w:r w:rsidR="00B169B8">
              <w:rPr>
                <w:rFonts w:eastAsiaTheme="minorEastAsia"/>
                <w:noProof/>
              </w:rPr>
              <w:tab/>
            </w:r>
            <w:r w:rsidR="00B169B8" w:rsidRPr="00B92242">
              <w:rPr>
                <w:rStyle w:val="Hyperlink"/>
                <w:rFonts w:ascii="Times New Roman" w:hAnsi="Times New Roman" w:cs="Times New Roman"/>
                <w:noProof/>
                <w:lang w:val="bg"/>
              </w:rPr>
              <w:t>Други услуги за данни за енергийните общности в Дания</w:t>
            </w:r>
            <w:r w:rsidR="00B169B8">
              <w:rPr>
                <w:noProof/>
                <w:webHidden/>
              </w:rPr>
              <w:tab/>
            </w:r>
            <w:r w:rsidR="00B169B8">
              <w:rPr>
                <w:noProof/>
                <w:webHidden/>
              </w:rPr>
              <w:fldChar w:fldCharType="begin"/>
            </w:r>
            <w:r w:rsidR="00B169B8">
              <w:rPr>
                <w:noProof/>
                <w:webHidden/>
              </w:rPr>
              <w:instrText xml:space="preserve"> PAGEREF _Toc203141340 \h </w:instrText>
            </w:r>
            <w:r w:rsidR="00B169B8">
              <w:rPr>
                <w:noProof/>
                <w:webHidden/>
              </w:rPr>
            </w:r>
            <w:r w:rsidR="00B169B8">
              <w:rPr>
                <w:noProof/>
                <w:webHidden/>
              </w:rPr>
              <w:fldChar w:fldCharType="separate"/>
            </w:r>
            <w:r w:rsidR="00B169B8">
              <w:rPr>
                <w:noProof/>
                <w:webHidden/>
              </w:rPr>
              <w:t>155</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41" w:history="1">
            <w:r w:rsidR="00B169B8" w:rsidRPr="00B92242">
              <w:rPr>
                <w:rStyle w:val="Hyperlink"/>
                <w:rFonts w:ascii="Times New Roman" w:hAnsi="Times New Roman" w:cs="Times New Roman"/>
                <w:noProof/>
                <w:lang w:val="bg-BG"/>
              </w:rPr>
              <w:t xml:space="preserve">6.4 </w:t>
            </w:r>
            <w:r w:rsidR="00B169B8" w:rsidRPr="00B92242">
              <w:rPr>
                <w:rStyle w:val="Hyperlink"/>
                <w:rFonts w:ascii="Times New Roman" w:hAnsi="Times New Roman" w:cs="Times New Roman"/>
                <w:noProof/>
              </w:rPr>
              <w:t>Интелигентни измервателни уреди в Норвегия</w:t>
            </w:r>
            <w:r w:rsidR="00B169B8">
              <w:rPr>
                <w:noProof/>
                <w:webHidden/>
              </w:rPr>
              <w:tab/>
            </w:r>
            <w:r w:rsidR="00B169B8">
              <w:rPr>
                <w:noProof/>
                <w:webHidden/>
              </w:rPr>
              <w:fldChar w:fldCharType="begin"/>
            </w:r>
            <w:r w:rsidR="00B169B8">
              <w:rPr>
                <w:noProof/>
                <w:webHidden/>
              </w:rPr>
              <w:instrText xml:space="preserve"> PAGEREF _Toc203141341 \h </w:instrText>
            </w:r>
            <w:r w:rsidR="00B169B8">
              <w:rPr>
                <w:noProof/>
                <w:webHidden/>
              </w:rPr>
            </w:r>
            <w:r w:rsidR="00B169B8">
              <w:rPr>
                <w:noProof/>
                <w:webHidden/>
              </w:rPr>
              <w:fldChar w:fldCharType="separate"/>
            </w:r>
            <w:r w:rsidR="00B169B8">
              <w:rPr>
                <w:noProof/>
                <w:webHidden/>
              </w:rPr>
              <w:t>156</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42" w:history="1">
            <w:r w:rsidR="00B169B8" w:rsidRPr="00B92242">
              <w:rPr>
                <w:rStyle w:val="Hyperlink"/>
                <w:rFonts w:ascii="Times New Roman" w:hAnsi="Times New Roman" w:cs="Times New Roman"/>
                <w:noProof/>
                <w:lang w:val="bg"/>
              </w:rPr>
              <w:t>6.4.1</w:t>
            </w:r>
            <w:r w:rsidR="00B169B8">
              <w:rPr>
                <w:rFonts w:eastAsiaTheme="minorEastAsia"/>
                <w:noProof/>
              </w:rPr>
              <w:tab/>
            </w:r>
            <w:r w:rsidR="00B169B8" w:rsidRPr="00B92242">
              <w:rPr>
                <w:rStyle w:val="Hyperlink"/>
                <w:rFonts w:ascii="Times New Roman" w:hAnsi="Times New Roman" w:cs="Times New Roman"/>
                <w:noProof/>
                <w:lang w:val="bg"/>
              </w:rPr>
              <w:t>Техническа спецификация на интелигентните измервателни уреди</w:t>
            </w:r>
            <w:r w:rsidR="00B169B8">
              <w:rPr>
                <w:noProof/>
                <w:webHidden/>
              </w:rPr>
              <w:tab/>
            </w:r>
            <w:r w:rsidR="00B169B8">
              <w:rPr>
                <w:noProof/>
                <w:webHidden/>
              </w:rPr>
              <w:fldChar w:fldCharType="begin"/>
            </w:r>
            <w:r w:rsidR="00B169B8">
              <w:rPr>
                <w:noProof/>
                <w:webHidden/>
              </w:rPr>
              <w:instrText xml:space="preserve"> PAGEREF _Toc203141342 \h </w:instrText>
            </w:r>
            <w:r w:rsidR="00B169B8">
              <w:rPr>
                <w:noProof/>
                <w:webHidden/>
              </w:rPr>
            </w:r>
            <w:r w:rsidR="00B169B8">
              <w:rPr>
                <w:noProof/>
                <w:webHidden/>
              </w:rPr>
              <w:fldChar w:fldCharType="separate"/>
            </w:r>
            <w:r w:rsidR="00B169B8">
              <w:rPr>
                <w:noProof/>
                <w:webHidden/>
              </w:rPr>
              <w:t>156</w:t>
            </w:r>
            <w:r w:rsidR="00B169B8">
              <w:rPr>
                <w:noProof/>
                <w:webHidden/>
              </w:rPr>
              <w:fldChar w:fldCharType="end"/>
            </w:r>
          </w:hyperlink>
        </w:p>
        <w:p w:rsidR="00B169B8" w:rsidRDefault="00567EA3">
          <w:pPr>
            <w:pStyle w:val="TOC1"/>
            <w:tabs>
              <w:tab w:val="left" w:pos="440"/>
              <w:tab w:val="right" w:leader="dot" w:pos="9367"/>
            </w:tabs>
            <w:rPr>
              <w:rFonts w:eastAsiaTheme="minorEastAsia"/>
              <w:noProof/>
            </w:rPr>
          </w:pPr>
          <w:hyperlink w:anchor="_Toc203141343" w:history="1">
            <w:r w:rsidR="00B169B8" w:rsidRPr="00B92242">
              <w:rPr>
                <w:rStyle w:val="Hyperlink"/>
                <w:rFonts w:ascii="Times New Roman" w:hAnsi="Times New Roman" w:cs="Times New Roman"/>
                <w:noProof/>
                <w:lang w:val="bg"/>
              </w:rPr>
              <w:t>7.</w:t>
            </w:r>
            <w:r w:rsidR="00B169B8">
              <w:rPr>
                <w:rFonts w:eastAsiaTheme="minorEastAsia"/>
                <w:noProof/>
              </w:rPr>
              <w:tab/>
            </w:r>
            <w:r w:rsidR="00B169B8" w:rsidRPr="00B92242">
              <w:rPr>
                <w:rStyle w:val="Hyperlink"/>
                <w:rFonts w:ascii="Times New Roman" w:hAnsi="Times New Roman" w:cs="Times New Roman"/>
                <w:noProof/>
                <w:lang w:val="bg"/>
              </w:rPr>
              <w:t>Разработване на пилотен проект</w:t>
            </w:r>
            <w:r w:rsidR="00B169B8">
              <w:rPr>
                <w:noProof/>
                <w:webHidden/>
              </w:rPr>
              <w:tab/>
            </w:r>
            <w:r w:rsidR="00B169B8">
              <w:rPr>
                <w:noProof/>
                <w:webHidden/>
              </w:rPr>
              <w:fldChar w:fldCharType="begin"/>
            </w:r>
            <w:r w:rsidR="00B169B8">
              <w:rPr>
                <w:noProof/>
                <w:webHidden/>
              </w:rPr>
              <w:instrText xml:space="preserve"> PAGEREF _Toc203141343 \h </w:instrText>
            </w:r>
            <w:r w:rsidR="00B169B8">
              <w:rPr>
                <w:noProof/>
                <w:webHidden/>
              </w:rPr>
            </w:r>
            <w:r w:rsidR="00B169B8">
              <w:rPr>
                <w:noProof/>
                <w:webHidden/>
              </w:rPr>
              <w:fldChar w:fldCharType="separate"/>
            </w:r>
            <w:r w:rsidR="00B169B8">
              <w:rPr>
                <w:noProof/>
                <w:webHidden/>
              </w:rPr>
              <w:t>158</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44" w:history="1">
            <w:r w:rsidR="00B169B8" w:rsidRPr="00B92242">
              <w:rPr>
                <w:rStyle w:val="Hyperlink"/>
                <w:rFonts w:ascii="Times New Roman" w:hAnsi="Times New Roman" w:cs="Times New Roman"/>
                <w:noProof/>
                <w:lang w:val="bg"/>
              </w:rPr>
              <w:t>7.1 Позоваване на най-добри практики от съществуващи пилотни проекти в Норвегия и в чужбина</w:t>
            </w:r>
            <w:r w:rsidR="00B169B8">
              <w:rPr>
                <w:noProof/>
                <w:webHidden/>
              </w:rPr>
              <w:tab/>
            </w:r>
            <w:r w:rsidR="00B169B8">
              <w:rPr>
                <w:noProof/>
                <w:webHidden/>
              </w:rPr>
              <w:fldChar w:fldCharType="begin"/>
            </w:r>
            <w:r w:rsidR="00B169B8">
              <w:rPr>
                <w:noProof/>
                <w:webHidden/>
              </w:rPr>
              <w:instrText xml:space="preserve"> PAGEREF _Toc203141344 \h </w:instrText>
            </w:r>
            <w:r w:rsidR="00B169B8">
              <w:rPr>
                <w:noProof/>
                <w:webHidden/>
              </w:rPr>
            </w:r>
            <w:r w:rsidR="00B169B8">
              <w:rPr>
                <w:noProof/>
                <w:webHidden/>
              </w:rPr>
              <w:fldChar w:fldCharType="separate"/>
            </w:r>
            <w:r w:rsidR="00B169B8">
              <w:rPr>
                <w:noProof/>
                <w:webHidden/>
              </w:rPr>
              <w:t>158</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45" w:history="1">
            <w:r w:rsidR="00B169B8" w:rsidRPr="00B92242">
              <w:rPr>
                <w:rStyle w:val="Hyperlink"/>
                <w:rFonts w:ascii="Times New Roman" w:hAnsi="Times New Roman" w:cs="Times New Roman"/>
                <w:noProof/>
                <w:lang w:val="bg"/>
              </w:rPr>
              <w:t>7.1.1 +Cityx Промяна</w:t>
            </w:r>
            <w:r w:rsidR="00B169B8">
              <w:rPr>
                <w:noProof/>
                <w:webHidden/>
              </w:rPr>
              <w:tab/>
            </w:r>
            <w:r w:rsidR="00B169B8">
              <w:rPr>
                <w:noProof/>
                <w:webHidden/>
              </w:rPr>
              <w:fldChar w:fldCharType="begin"/>
            </w:r>
            <w:r w:rsidR="00B169B8">
              <w:rPr>
                <w:noProof/>
                <w:webHidden/>
              </w:rPr>
              <w:instrText xml:space="preserve"> PAGEREF _Toc203141345 \h </w:instrText>
            </w:r>
            <w:r w:rsidR="00B169B8">
              <w:rPr>
                <w:noProof/>
                <w:webHidden/>
              </w:rPr>
            </w:r>
            <w:r w:rsidR="00B169B8">
              <w:rPr>
                <w:noProof/>
                <w:webHidden/>
              </w:rPr>
              <w:fldChar w:fldCharType="separate"/>
            </w:r>
            <w:r w:rsidR="00B169B8">
              <w:rPr>
                <w:noProof/>
                <w:webHidden/>
              </w:rPr>
              <w:t>158</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46" w:history="1">
            <w:r w:rsidR="00B169B8" w:rsidRPr="00B92242">
              <w:rPr>
                <w:rStyle w:val="Hyperlink"/>
                <w:rFonts w:ascii="Times New Roman" w:hAnsi="Times New Roman" w:cs="Times New Roman"/>
                <w:noProof/>
                <w:lang w:val="bg"/>
              </w:rPr>
              <w:t xml:space="preserve">7.1.2  Интелигентна Сеня </w:t>
            </w:r>
            <w:r w:rsidR="00B169B8">
              <w:rPr>
                <w:noProof/>
                <w:webHidden/>
              </w:rPr>
              <w:tab/>
            </w:r>
            <w:r w:rsidR="00B169B8">
              <w:rPr>
                <w:noProof/>
                <w:webHidden/>
              </w:rPr>
              <w:fldChar w:fldCharType="begin"/>
            </w:r>
            <w:r w:rsidR="00B169B8">
              <w:rPr>
                <w:noProof/>
                <w:webHidden/>
              </w:rPr>
              <w:instrText xml:space="preserve"> PAGEREF _Toc203141346 \h </w:instrText>
            </w:r>
            <w:r w:rsidR="00B169B8">
              <w:rPr>
                <w:noProof/>
                <w:webHidden/>
              </w:rPr>
            </w:r>
            <w:r w:rsidR="00B169B8">
              <w:rPr>
                <w:noProof/>
                <w:webHidden/>
              </w:rPr>
              <w:fldChar w:fldCharType="separate"/>
            </w:r>
            <w:r w:rsidR="00B169B8">
              <w:rPr>
                <w:noProof/>
                <w:webHidden/>
              </w:rPr>
              <w:t>159</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47" w:history="1">
            <w:r w:rsidR="00B169B8" w:rsidRPr="00B92242">
              <w:rPr>
                <w:rStyle w:val="Hyperlink"/>
                <w:rFonts w:ascii="Times New Roman" w:hAnsi="Times New Roman" w:cs="Times New Roman"/>
                <w:noProof/>
                <w:lang w:val="bg"/>
              </w:rPr>
              <w:t>7.1.3 Примери за енергийна общност от Обединеното кралство, Швейцария и Гърция</w:t>
            </w:r>
            <w:r w:rsidR="00B169B8">
              <w:rPr>
                <w:noProof/>
                <w:webHidden/>
              </w:rPr>
              <w:tab/>
            </w:r>
            <w:r w:rsidR="00B169B8">
              <w:rPr>
                <w:noProof/>
                <w:webHidden/>
              </w:rPr>
              <w:fldChar w:fldCharType="begin"/>
            </w:r>
            <w:r w:rsidR="00B169B8">
              <w:rPr>
                <w:noProof/>
                <w:webHidden/>
              </w:rPr>
              <w:instrText xml:space="preserve"> PAGEREF _Toc203141347 \h </w:instrText>
            </w:r>
            <w:r w:rsidR="00B169B8">
              <w:rPr>
                <w:noProof/>
                <w:webHidden/>
              </w:rPr>
            </w:r>
            <w:r w:rsidR="00B169B8">
              <w:rPr>
                <w:noProof/>
                <w:webHidden/>
              </w:rPr>
              <w:fldChar w:fldCharType="separate"/>
            </w:r>
            <w:r w:rsidR="00B169B8">
              <w:rPr>
                <w:noProof/>
                <w:webHidden/>
              </w:rPr>
              <w:t>160</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48" w:history="1">
            <w:r w:rsidR="00B169B8" w:rsidRPr="00B92242">
              <w:rPr>
                <w:rStyle w:val="Hyperlink"/>
                <w:rFonts w:ascii="Times New Roman" w:hAnsi="Times New Roman" w:cs="Times New Roman"/>
                <w:noProof/>
                <w:lang w:val="bg"/>
              </w:rPr>
              <w:t>7.1.4 Позоваване на развитието на ЕО в Естония</w:t>
            </w:r>
            <w:r w:rsidR="00B169B8">
              <w:rPr>
                <w:noProof/>
                <w:webHidden/>
              </w:rPr>
              <w:tab/>
            </w:r>
            <w:r w:rsidR="00B169B8">
              <w:rPr>
                <w:noProof/>
                <w:webHidden/>
              </w:rPr>
              <w:fldChar w:fldCharType="begin"/>
            </w:r>
            <w:r w:rsidR="00B169B8">
              <w:rPr>
                <w:noProof/>
                <w:webHidden/>
              </w:rPr>
              <w:instrText xml:space="preserve"> PAGEREF _Toc203141348 \h </w:instrText>
            </w:r>
            <w:r w:rsidR="00B169B8">
              <w:rPr>
                <w:noProof/>
                <w:webHidden/>
              </w:rPr>
            </w:r>
            <w:r w:rsidR="00B169B8">
              <w:rPr>
                <w:noProof/>
                <w:webHidden/>
              </w:rPr>
              <w:fldChar w:fldCharType="separate"/>
            </w:r>
            <w:r w:rsidR="00B169B8">
              <w:rPr>
                <w:noProof/>
                <w:webHidden/>
              </w:rPr>
              <w:t>162</w:t>
            </w:r>
            <w:r w:rsidR="00B169B8">
              <w:rPr>
                <w:noProof/>
                <w:webHidden/>
              </w:rPr>
              <w:fldChar w:fldCharType="end"/>
            </w:r>
          </w:hyperlink>
        </w:p>
        <w:p w:rsidR="00B169B8" w:rsidRDefault="00567EA3">
          <w:pPr>
            <w:pStyle w:val="TOC1"/>
            <w:tabs>
              <w:tab w:val="left" w:pos="440"/>
              <w:tab w:val="right" w:leader="dot" w:pos="9367"/>
            </w:tabs>
            <w:rPr>
              <w:rFonts w:eastAsiaTheme="minorEastAsia"/>
              <w:noProof/>
            </w:rPr>
          </w:pPr>
          <w:hyperlink w:anchor="_Toc203141349" w:history="1">
            <w:r w:rsidR="00B169B8" w:rsidRPr="00B92242">
              <w:rPr>
                <w:rStyle w:val="Hyperlink"/>
                <w:rFonts w:ascii="Times New Roman" w:hAnsi="Times New Roman" w:cs="Times New Roman"/>
                <w:noProof/>
                <w:lang w:val="bg"/>
              </w:rPr>
              <w:t>8.</w:t>
            </w:r>
            <w:r w:rsidR="00B169B8">
              <w:rPr>
                <w:rFonts w:eastAsiaTheme="minorEastAsia"/>
                <w:noProof/>
              </w:rPr>
              <w:tab/>
            </w:r>
            <w:r w:rsidR="00B169B8" w:rsidRPr="00B92242">
              <w:rPr>
                <w:rStyle w:val="Hyperlink"/>
                <w:rFonts w:ascii="Times New Roman" w:hAnsi="Times New Roman" w:cs="Times New Roman"/>
                <w:noProof/>
                <w:lang w:val="bg"/>
              </w:rPr>
              <w:t>Изграждане на капацитет, ангажираност на заинтересованите страни и бизнес модели</w:t>
            </w:r>
            <w:r w:rsidR="00B169B8">
              <w:rPr>
                <w:noProof/>
                <w:webHidden/>
              </w:rPr>
              <w:tab/>
            </w:r>
            <w:r w:rsidR="00B169B8">
              <w:rPr>
                <w:noProof/>
                <w:webHidden/>
              </w:rPr>
              <w:fldChar w:fldCharType="begin"/>
            </w:r>
            <w:r w:rsidR="00B169B8">
              <w:rPr>
                <w:noProof/>
                <w:webHidden/>
              </w:rPr>
              <w:instrText xml:space="preserve"> PAGEREF _Toc203141349 \h </w:instrText>
            </w:r>
            <w:r w:rsidR="00B169B8">
              <w:rPr>
                <w:noProof/>
                <w:webHidden/>
              </w:rPr>
            </w:r>
            <w:r w:rsidR="00B169B8">
              <w:rPr>
                <w:noProof/>
                <w:webHidden/>
              </w:rPr>
              <w:fldChar w:fldCharType="separate"/>
            </w:r>
            <w:r w:rsidR="00B169B8">
              <w:rPr>
                <w:noProof/>
                <w:webHidden/>
              </w:rPr>
              <w:t>164</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50" w:history="1">
            <w:r w:rsidR="00B169B8" w:rsidRPr="00B92242">
              <w:rPr>
                <w:rStyle w:val="Hyperlink"/>
                <w:rFonts w:ascii="Times New Roman" w:hAnsi="Times New Roman" w:cs="Times New Roman"/>
                <w:noProof/>
                <w:lang w:val="bg"/>
              </w:rPr>
              <w:t>8.1 Участие и обратна връзка от съответните заинтересовани страни</w:t>
            </w:r>
            <w:r w:rsidR="00B169B8">
              <w:rPr>
                <w:noProof/>
                <w:webHidden/>
              </w:rPr>
              <w:tab/>
            </w:r>
            <w:r w:rsidR="00B169B8">
              <w:rPr>
                <w:noProof/>
                <w:webHidden/>
              </w:rPr>
              <w:fldChar w:fldCharType="begin"/>
            </w:r>
            <w:r w:rsidR="00B169B8">
              <w:rPr>
                <w:noProof/>
                <w:webHidden/>
              </w:rPr>
              <w:instrText xml:space="preserve"> PAGEREF _Toc203141350 \h </w:instrText>
            </w:r>
            <w:r w:rsidR="00B169B8">
              <w:rPr>
                <w:noProof/>
                <w:webHidden/>
              </w:rPr>
            </w:r>
            <w:r w:rsidR="00B169B8">
              <w:rPr>
                <w:noProof/>
                <w:webHidden/>
              </w:rPr>
              <w:fldChar w:fldCharType="separate"/>
            </w:r>
            <w:r w:rsidR="00B169B8">
              <w:rPr>
                <w:noProof/>
                <w:webHidden/>
              </w:rPr>
              <w:t>164</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51" w:history="1">
            <w:r w:rsidR="00B169B8" w:rsidRPr="00B92242">
              <w:rPr>
                <w:rStyle w:val="Hyperlink"/>
                <w:rFonts w:ascii="Times New Roman" w:hAnsi="Times New Roman" w:cs="Times New Roman"/>
                <w:noProof/>
                <w:lang w:val="bg"/>
              </w:rPr>
              <w:t>8.2 Практически семинари за обучение, насочени към ролите и</w:t>
            </w:r>
            <w:r w:rsidR="00B169B8">
              <w:rPr>
                <w:noProof/>
                <w:webHidden/>
              </w:rPr>
              <w:tab/>
            </w:r>
            <w:r w:rsidR="00B169B8">
              <w:rPr>
                <w:noProof/>
                <w:webHidden/>
              </w:rPr>
              <w:fldChar w:fldCharType="begin"/>
            </w:r>
            <w:r w:rsidR="00B169B8">
              <w:rPr>
                <w:noProof/>
                <w:webHidden/>
              </w:rPr>
              <w:instrText xml:space="preserve"> PAGEREF _Toc203141351 \h </w:instrText>
            </w:r>
            <w:r w:rsidR="00B169B8">
              <w:rPr>
                <w:noProof/>
                <w:webHidden/>
              </w:rPr>
            </w:r>
            <w:r w:rsidR="00B169B8">
              <w:rPr>
                <w:noProof/>
                <w:webHidden/>
              </w:rPr>
              <w:fldChar w:fldCharType="separate"/>
            </w:r>
            <w:r w:rsidR="00B169B8">
              <w:rPr>
                <w:noProof/>
                <w:webHidden/>
              </w:rPr>
              <w:t>165</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52" w:history="1">
            <w:r w:rsidR="00B169B8" w:rsidRPr="00B92242">
              <w:rPr>
                <w:rStyle w:val="Hyperlink"/>
                <w:rFonts w:ascii="Times New Roman" w:hAnsi="Times New Roman" w:cs="Times New Roman"/>
                <w:noProof/>
                <w:lang w:val="bg"/>
              </w:rPr>
              <w:t>отговорности, икономическа жизнеспособност и технологии</w:t>
            </w:r>
            <w:r w:rsidR="00B169B8">
              <w:rPr>
                <w:noProof/>
                <w:webHidden/>
              </w:rPr>
              <w:tab/>
            </w:r>
            <w:r w:rsidR="00B169B8">
              <w:rPr>
                <w:noProof/>
                <w:webHidden/>
              </w:rPr>
              <w:fldChar w:fldCharType="begin"/>
            </w:r>
            <w:r w:rsidR="00B169B8">
              <w:rPr>
                <w:noProof/>
                <w:webHidden/>
              </w:rPr>
              <w:instrText xml:space="preserve"> PAGEREF _Toc203141352 \h </w:instrText>
            </w:r>
            <w:r w:rsidR="00B169B8">
              <w:rPr>
                <w:noProof/>
                <w:webHidden/>
              </w:rPr>
            </w:r>
            <w:r w:rsidR="00B169B8">
              <w:rPr>
                <w:noProof/>
                <w:webHidden/>
              </w:rPr>
              <w:fldChar w:fldCharType="separate"/>
            </w:r>
            <w:r w:rsidR="00B169B8">
              <w:rPr>
                <w:noProof/>
                <w:webHidden/>
              </w:rPr>
              <w:t>165</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53" w:history="1">
            <w:r w:rsidR="00B169B8" w:rsidRPr="00B92242">
              <w:rPr>
                <w:rStyle w:val="Hyperlink"/>
                <w:rFonts w:ascii="Times New Roman" w:hAnsi="Times New Roman" w:cs="Times New Roman"/>
                <w:noProof/>
                <w:lang w:val="bg"/>
              </w:rPr>
              <w:t>8.3</w:t>
            </w:r>
            <w:r w:rsidR="00B169B8">
              <w:rPr>
                <w:rFonts w:eastAsiaTheme="minorEastAsia"/>
                <w:noProof/>
              </w:rPr>
              <w:tab/>
            </w:r>
            <w:r w:rsidR="00B169B8" w:rsidRPr="00B92242">
              <w:rPr>
                <w:rStyle w:val="Hyperlink"/>
                <w:rFonts w:ascii="Times New Roman" w:hAnsi="Times New Roman" w:cs="Times New Roman"/>
                <w:noProof/>
                <w:lang w:val="bg"/>
              </w:rPr>
              <w:t>Заключителна заключителна конференция за представяне на резултатите от проекта, препоръките и стратегиите за мащабиране.</w:t>
            </w:r>
            <w:r w:rsidR="00B169B8">
              <w:rPr>
                <w:noProof/>
                <w:webHidden/>
              </w:rPr>
              <w:tab/>
            </w:r>
            <w:r w:rsidR="00B169B8">
              <w:rPr>
                <w:noProof/>
                <w:webHidden/>
              </w:rPr>
              <w:fldChar w:fldCharType="begin"/>
            </w:r>
            <w:r w:rsidR="00B169B8">
              <w:rPr>
                <w:noProof/>
                <w:webHidden/>
              </w:rPr>
              <w:instrText xml:space="preserve"> PAGEREF _Toc203141353 \h </w:instrText>
            </w:r>
            <w:r w:rsidR="00B169B8">
              <w:rPr>
                <w:noProof/>
                <w:webHidden/>
              </w:rPr>
            </w:r>
            <w:r w:rsidR="00B169B8">
              <w:rPr>
                <w:noProof/>
                <w:webHidden/>
              </w:rPr>
              <w:fldChar w:fldCharType="separate"/>
            </w:r>
            <w:r w:rsidR="00B169B8">
              <w:rPr>
                <w:noProof/>
                <w:webHidden/>
              </w:rPr>
              <w:t>167</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54" w:history="1">
            <w:r w:rsidR="00B169B8" w:rsidRPr="00B92242">
              <w:rPr>
                <w:rStyle w:val="Hyperlink"/>
                <w:rFonts w:ascii="Times New Roman" w:hAnsi="Times New Roman" w:cs="Times New Roman"/>
                <w:noProof/>
                <w:lang w:val="bg-BG"/>
              </w:rPr>
              <w:t>8.4</w:t>
            </w:r>
            <w:r w:rsidR="00B169B8">
              <w:rPr>
                <w:rFonts w:eastAsiaTheme="minorEastAsia"/>
                <w:noProof/>
              </w:rPr>
              <w:tab/>
            </w:r>
            <w:r w:rsidR="00B169B8" w:rsidRPr="00B92242">
              <w:rPr>
                <w:rStyle w:val="Hyperlink"/>
                <w:rFonts w:ascii="Times New Roman" w:hAnsi="Times New Roman" w:cs="Times New Roman"/>
                <w:noProof/>
                <w:lang w:val="bg-BG"/>
              </w:rPr>
              <w:t>Бизнес модели, които стимулират участието на заинтересованите страни</w:t>
            </w:r>
            <w:r w:rsidR="00B169B8">
              <w:rPr>
                <w:noProof/>
                <w:webHidden/>
              </w:rPr>
              <w:tab/>
            </w:r>
            <w:r w:rsidR="00B169B8">
              <w:rPr>
                <w:noProof/>
                <w:webHidden/>
              </w:rPr>
              <w:fldChar w:fldCharType="begin"/>
            </w:r>
            <w:r w:rsidR="00B169B8">
              <w:rPr>
                <w:noProof/>
                <w:webHidden/>
              </w:rPr>
              <w:instrText xml:space="preserve"> PAGEREF _Toc203141354 \h </w:instrText>
            </w:r>
            <w:r w:rsidR="00B169B8">
              <w:rPr>
                <w:noProof/>
                <w:webHidden/>
              </w:rPr>
            </w:r>
            <w:r w:rsidR="00B169B8">
              <w:rPr>
                <w:noProof/>
                <w:webHidden/>
              </w:rPr>
              <w:fldChar w:fldCharType="separate"/>
            </w:r>
            <w:r w:rsidR="00B169B8">
              <w:rPr>
                <w:noProof/>
                <w:webHidden/>
              </w:rPr>
              <w:t>167</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55" w:history="1">
            <w:r w:rsidR="00B169B8" w:rsidRPr="00B92242">
              <w:rPr>
                <w:rStyle w:val="Hyperlink"/>
                <w:rFonts w:ascii="Times New Roman" w:hAnsi="Times New Roman" w:cs="Times New Roman"/>
                <w:noProof/>
                <w:lang w:val="bg"/>
              </w:rPr>
              <w:t>8.4.1 Пригодност на бизнес моделите в български контекст</w:t>
            </w:r>
            <w:r w:rsidR="00B169B8">
              <w:rPr>
                <w:noProof/>
                <w:webHidden/>
              </w:rPr>
              <w:tab/>
            </w:r>
            <w:r w:rsidR="00B169B8">
              <w:rPr>
                <w:noProof/>
                <w:webHidden/>
              </w:rPr>
              <w:fldChar w:fldCharType="begin"/>
            </w:r>
            <w:r w:rsidR="00B169B8">
              <w:rPr>
                <w:noProof/>
                <w:webHidden/>
              </w:rPr>
              <w:instrText xml:space="preserve"> PAGEREF _Toc203141355 \h </w:instrText>
            </w:r>
            <w:r w:rsidR="00B169B8">
              <w:rPr>
                <w:noProof/>
                <w:webHidden/>
              </w:rPr>
            </w:r>
            <w:r w:rsidR="00B169B8">
              <w:rPr>
                <w:noProof/>
                <w:webHidden/>
              </w:rPr>
              <w:fldChar w:fldCharType="separate"/>
            </w:r>
            <w:r w:rsidR="00B169B8">
              <w:rPr>
                <w:noProof/>
                <w:webHidden/>
              </w:rPr>
              <w:t>170</w:t>
            </w:r>
            <w:r w:rsidR="00B169B8">
              <w:rPr>
                <w:noProof/>
                <w:webHidden/>
              </w:rPr>
              <w:fldChar w:fldCharType="end"/>
            </w:r>
          </w:hyperlink>
        </w:p>
        <w:p w:rsidR="00B169B8" w:rsidRDefault="00567EA3">
          <w:pPr>
            <w:pStyle w:val="TOC1"/>
            <w:tabs>
              <w:tab w:val="right" w:leader="dot" w:pos="9367"/>
            </w:tabs>
            <w:rPr>
              <w:rFonts w:eastAsiaTheme="minorEastAsia"/>
              <w:noProof/>
            </w:rPr>
          </w:pPr>
          <w:hyperlink w:anchor="_Toc203141356" w:history="1">
            <w:r w:rsidR="00B169B8" w:rsidRPr="00B92242">
              <w:rPr>
                <w:rStyle w:val="Hyperlink"/>
                <w:rFonts w:ascii="Times New Roman" w:hAnsi="Times New Roman" w:cs="Times New Roman"/>
                <w:noProof/>
              </w:rPr>
              <w:t xml:space="preserve">9 </w:t>
            </w:r>
            <w:r w:rsidR="00B169B8" w:rsidRPr="00B92242">
              <w:rPr>
                <w:rStyle w:val="Hyperlink"/>
                <w:rFonts w:ascii="Times New Roman" w:hAnsi="Times New Roman" w:cs="Times New Roman"/>
                <w:noProof/>
                <w:lang w:val="bg-BG"/>
              </w:rPr>
              <w:t xml:space="preserve"> </w:t>
            </w:r>
            <w:r w:rsidR="00B169B8" w:rsidRPr="00B92242">
              <w:rPr>
                <w:rStyle w:val="Hyperlink"/>
                <w:rFonts w:ascii="Times New Roman" w:hAnsi="Times New Roman" w:cs="Times New Roman"/>
                <w:noProof/>
              </w:rPr>
              <w:t>Препоръки</w:t>
            </w:r>
            <w:r w:rsidR="00B169B8">
              <w:rPr>
                <w:noProof/>
                <w:webHidden/>
              </w:rPr>
              <w:tab/>
            </w:r>
            <w:r w:rsidR="00B169B8">
              <w:rPr>
                <w:noProof/>
                <w:webHidden/>
              </w:rPr>
              <w:fldChar w:fldCharType="begin"/>
            </w:r>
            <w:r w:rsidR="00B169B8">
              <w:rPr>
                <w:noProof/>
                <w:webHidden/>
              </w:rPr>
              <w:instrText xml:space="preserve"> PAGEREF _Toc203141356 \h </w:instrText>
            </w:r>
            <w:r w:rsidR="00B169B8">
              <w:rPr>
                <w:noProof/>
                <w:webHidden/>
              </w:rPr>
            </w:r>
            <w:r w:rsidR="00B169B8">
              <w:rPr>
                <w:noProof/>
                <w:webHidden/>
              </w:rPr>
              <w:fldChar w:fldCharType="separate"/>
            </w:r>
            <w:r w:rsidR="00B169B8">
              <w:rPr>
                <w:noProof/>
                <w:webHidden/>
              </w:rPr>
              <w:t>171</w:t>
            </w:r>
            <w:r w:rsidR="00B169B8">
              <w:rPr>
                <w:noProof/>
                <w:webHidden/>
              </w:rPr>
              <w:fldChar w:fldCharType="end"/>
            </w:r>
          </w:hyperlink>
        </w:p>
        <w:p w:rsidR="00B169B8" w:rsidRDefault="00567EA3">
          <w:pPr>
            <w:pStyle w:val="TOC2"/>
            <w:tabs>
              <w:tab w:val="right" w:leader="dot" w:pos="9367"/>
            </w:tabs>
            <w:rPr>
              <w:rFonts w:eastAsiaTheme="minorEastAsia"/>
              <w:noProof/>
            </w:rPr>
          </w:pPr>
          <w:hyperlink w:anchor="_Toc203141357" w:history="1">
            <w:r w:rsidR="00B169B8" w:rsidRPr="00B92242">
              <w:rPr>
                <w:rStyle w:val="Hyperlink"/>
                <w:rFonts w:ascii="Times New Roman" w:hAnsi="Times New Roman" w:cs="Times New Roman"/>
                <w:noProof/>
                <w:lang w:val="bg"/>
              </w:rPr>
              <w:t>9.1 Основни правни препоръки, произтичащи от оценката на правните пропуски</w:t>
            </w:r>
            <w:r w:rsidR="00B169B8">
              <w:rPr>
                <w:noProof/>
                <w:webHidden/>
              </w:rPr>
              <w:tab/>
            </w:r>
            <w:r w:rsidR="00B169B8">
              <w:rPr>
                <w:noProof/>
                <w:webHidden/>
              </w:rPr>
              <w:fldChar w:fldCharType="begin"/>
            </w:r>
            <w:r w:rsidR="00B169B8">
              <w:rPr>
                <w:noProof/>
                <w:webHidden/>
              </w:rPr>
              <w:instrText xml:space="preserve"> PAGEREF _Toc203141357 \h </w:instrText>
            </w:r>
            <w:r w:rsidR="00B169B8">
              <w:rPr>
                <w:noProof/>
                <w:webHidden/>
              </w:rPr>
            </w:r>
            <w:r w:rsidR="00B169B8">
              <w:rPr>
                <w:noProof/>
                <w:webHidden/>
              </w:rPr>
              <w:fldChar w:fldCharType="separate"/>
            </w:r>
            <w:r w:rsidR="00B169B8">
              <w:rPr>
                <w:noProof/>
                <w:webHidden/>
              </w:rPr>
              <w:t>171</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58" w:history="1">
            <w:r w:rsidR="00B169B8" w:rsidRPr="00B92242">
              <w:rPr>
                <w:rStyle w:val="Hyperlink"/>
                <w:rFonts w:ascii="Times New Roman" w:hAnsi="Times New Roman" w:cs="Times New Roman"/>
                <w:noProof/>
                <w:lang w:val="bg"/>
              </w:rPr>
              <w:t>9.1.1 Правна форма и признаване</w:t>
            </w:r>
            <w:r w:rsidR="00B169B8">
              <w:rPr>
                <w:noProof/>
                <w:webHidden/>
              </w:rPr>
              <w:tab/>
            </w:r>
            <w:r w:rsidR="00B169B8">
              <w:rPr>
                <w:noProof/>
                <w:webHidden/>
              </w:rPr>
              <w:fldChar w:fldCharType="begin"/>
            </w:r>
            <w:r w:rsidR="00B169B8">
              <w:rPr>
                <w:noProof/>
                <w:webHidden/>
              </w:rPr>
              <w:instrText xml:space="preserve"> PAGEREF _Toc203141358 \h </w:instrText>
            </w:r>
            <w:r w:rsidR="00B169B8">
              <w:rPr>
                <w:noProof/>
                <w:webHidden/>
              </w:rPr>
            </w:r>
            <w:r w:rsidR="00B169B8">
              <w:rPr>
                <w:noProof/>
                <w:webHidden/>
              </w:rPr>
              <w:fldChar w:fldCharType="separate"/>
            </w:r>
            <w:r w:rsidR="00B169B8">
              <w:rPr>
                <w:noProof/>
                <w:webHidden/>
              </w:rPr>
              <w:t>171</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59" w:history="1">
            <w:r w:rsidR="00B169B8" w:rsidRPr="00B92242">
              <w:rPr>
                <w:rStyle w:val="Hyperlink"/>
                <w:rFonts w:ascii="Times New Roman" w:hAnsi="Times New Roman" w:cs="Times New Roman"/>
                <w:noProof/>
                <w:lang w:val="bg"/>
              </w:rPr>
              <w:t>9.1.2</w:t>
            </w:r>
            <w:r w:rsidR="00B169B8">
              <w:rPr>
                <w:rFonts w:eastAsiaTheme="minorEastAsia"/>
                <w:noProof/>
              </w:rPr>
              <w:tab/>
            </w:r>
            <w:r w:rsidR="00B169B8" w:rsidRPr="00B92242">
              <w:rPr>
                <w:rStyle w:val="Hyperlink"/>
                <w:rFonts w:ascii="Times New Roman" w:hAnsi="Times New Roman" w:cs="Times New Roman"/>
                <w:noProof/>
                <w:lang w:val="bg"/>
              </w:rPr>
              <w:t>Вторични законодателни изменения</w:t>
            </w:r>
            <w:r w:rsidR="00B169B8">
              <w:rPr>
                <w:noProof/>
                <w:webHidden/>
              </w:rPr>
              <w:tab/>
            </w:r>
            <w:r w:rsidR="00B169B8">
              <w:rPr>
                <w:noProof/>
                <w:webHidden/>
              </w:rPr>
              <w:fldChar w:fldCharType="begin"/>
            </w:r>
            <w:r w:rsidR="00B169B8">
              <w:rPr>
                <w:noProof/>
                <w:webHidden/>
              </w:rPr>
              <w:instrText xml:space="preserve"> PAGEREF _Toc203141359 \h </w:instrText>
            </w:r>
            <w:r w:rsidR="00B169B8">
              <w:rPr>
                <w:noProof/>
                <w:webHidden/>
              </w:rPr>
            </w:r>
            <w:r w:rsidR="00B169B8">
              <w:rPr>
                <w:noProof/>
                <w:webHidden/>
              </w:rPr>
              <w:fldChar w:fldCharType="separate"/>
            </w:r>
            <w:r w:rsidR="00B169B8">
              <w:rPr>
                <w:noProof/>
                <w:webHidden/>
              </w:rPr>
              <w:t>172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0" w:history="1">
            <w:r w:rsidR="00B169B8" w:rsidRPr="00B92242">
              <w:rPr>
                <w:rStyle w:val="Hyperlink"/>
                <w:rFonts w:ascii="Times New Roman" w:hAnsi="Times New Roman" w:cs="Times New Roman"/>
                <w:noProof/>
                <w:lang w:val="bg"/>
              </w:rPr>
              <w:t>9.1.3</w:t>
            </w:r>
            <w:r w:rsidR="00B169B8">
              <w:rPr>
                <w:rFonts w:eastAsiaTheme="minorEastAsia"/>
                <w:noProof/>
              </w:rPr>
              <w:tab/>
            </w:r>
            <w:r w:rsidR="00B169B8" w:rsidRPr="00B92242">
              <w:rPr>
                <w:rStyle w:val="Hyperlink"/>
                <w:rFonts w:ascii="Times New Roman" w:hAnsi="Times New Roman" w:cs="Times New Roman"/>
                <w:noProof/>
                <w:lang w:val="bg"/>
              </w:rPr>
              <w:t>Опции за правен субект</w:t>
            </w:r>
            <w:r w:rsidR="00B169B8">
              <w:rPr>
                <w:noProof/>
                <w:webHidden/>
              </w:rPr>
              <w:tab/>
            </w:r>
            <w:r w:rsidR="00B169B8">
              <w:rPr>
                <w:noProof/>
                <w:webHidden/>
              </w:rPr>
              <w:fldChar w:fldCharType="begin"/>
            </w:r>
            <w:r w:rsidR="00B169B8">
              <w:rPr>
                <w:noProof/>
                <w:webHidden/>
              </w:rPr>
              <w:instrText xml:space="preserve"> PAGEREF _Toc203141360 \h </w:instrText>
            </w:r>
            <w:r w:rsidR="00B169B8">
              <w:rPr>
                <w:noProof/>
                <w:webHidden/>
              </w:rPr>
            </w:r>
            <w:r w:rsidR="00B169B8">
              <w:rPr>
                <w:noProof/>
                <w:webHidden/>
              </w:rPr>
              <w:fldChar w:fldCharType="separate"/>
            </w:r>
            <w:r w:rsidR="00B169B8">
              <w:rPr>
                <w:noProof/>
                <w:webHidden/>
              </w:rPr>
              <w:t>172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1" w:history="1">
            <w:r w:rsidR="00B169B8" w:rsidRPr="00B92242">
              <w:rPr>
                <w:rStyle w:val="Hyperlink"/>
                <w:rFonts w:ascii="Times New Roman" w:hAnsi="Times New Roman" w:cs="Times New Roman"/>
                <w:noProof/>
                <w:lang w:val="bg"/>
              </w:rPr>
              <w:t>9.1.4</w:t>
            </w:r>
            <w:r w:rsidR="00B169B8">
              <w:rPr>
                <w:rFonts w:eastAsiaTheme="minorEastAsia"/>
                <w:noProof/>
              </w:rPr>
              <w:tab/>
            </w:r>
            <w:r w:rsidR="00B169B8" w:rsidRPr="00B92242">
              <w:rPr>
                <w:rStyle w:val="Hyperlink"/>
                <w:rFonts w:ascii="Times New Roman" w:hAnsi="Times New Roman" w:cs="Times New Roman"/>
                <w:noProof/>
                <w:lang w:val="bg"/>
              </w:rPr>
              <w:t>Национален регистър на енергийните общности</w:t>
            </w:r>
            <w:r w:rsidR="00B169B8">
              <w:rPr>
                <w:noProof/>
                <w:webHidden/>
              </w:rPr>
              <w:tab/>
            </w:r>
            <w:r w:rsidR="00B169B8">
              <w:rPr>
                <w:noProof/>
                <w:webHidden/>
              </w:rPr>
              <w:fldChar w:fldCharType="begin"/>
            </w:r>
            <w:r w:rsidR="00B169B8">
              <w:rPr>
                <w:noProof/>
                <w:webHidden/>
              </w:rPr>
              <w:instrText xml:space="preserve"> PAGEREF _Toc203141361 \h </w:instrText>
            </w:r>
            <w:r w:rsidR="00B169B8">
              <w:rPr>
                <w:noProof/>
                <w:webHidden/>
              </w:rPr>
            </w:r>
            <w:r w:rsidR="00B169B8">
              <w:rPr>
                <w:noProof/>
                <w:webHidden/>
              </w:rPr>
              <w:fldChar w:fldCharType="separate"/>
            </w:r>
            <w:r w:rsidR="00B169B8">
              <w:rPr>
                <w:noProof/>
                <w:webHidden/>
              </w:rPr>
              <w:t>172</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2" w:history="1">
            <w:r w:rsidR="00B169B8" w:rsidRPr="00B92242">
              <w:rPr>
                <w:rStyle w:val="Hyperlink"/>
                <w:rFonts w:ascii="Times New Roman" w:hAnsi="Times New Roman" w:cs="Times New Roman"/>
                <w:noProof/>
                <w:lang w:val="bg"/>
              </w:rPr>
              <w:t>9.1.5</w:t>
            </w:r>
            <w:r w:rsidR="00B169B8">
              <w:rPr>
                <w:rFonts w:eastAsiaTheme="minorEastAsia"/>
                <w:noProof/>
              </w:rPr>
              <w:tab/>
            </w:r>
            <w:r w:rsidR="00B169B8" w:rsidRPr="00B92242">
              <w:rPr>
                <w:rStyle w:val="Hyperlink"/>
                <w:rFonts w:ascii="Times New Roman" w:hAnsi="Times New Roman" w:cs="Times New Roman"/>
                <w:noProof/>
                <w:lang w:val="bg"/>
              </w:rPr>
              <w:t>Необходимост от реформи</w:t>
            </w:r>
            <w:r w:rsidR="00B169B8">
              <w:rPr>
                <w:noProof/>
                <w:webHidden/>
              </w:rPr>
              <w:tab/>
            </w:r>
            <w:r w:rsidR="00B169B8">
              <w:rPr>
                <w:noProof/>
                <w:webHidden/>
              </w:rPr>
              <w:fldChar w:fldCharType="begin"/>
            </w:r>
            <w:r w:rsidR="00B169B8">
              <w:rPr>
                <w:noProof/>
                <w:webHidden/>
              </w:rPr>
              <w:instrText xml:space="preserve"> PAGEREF _Toc203141362 \h </w:instrText>
            </w:r>
            <w:r w:rsidR="00B169B8">
              <w:rPr>
                <w:noProof/>
                <w:webHidden/>
              </w:rPr>
            </w:r>
            <w:r w:rsidR="00B169B8">
              <w:rPr>
                <w:noProof/>
                <w:webHidden/>
              </w:rPr>
              <w:fldChar w:fldCharType="separate"/>
            </w:r>
            <w:r w:rsidR="00B169B8">
              <w:rPr>
                <w:noProof/>
                <w:webHidden/>
              </w:rPr>
              <w:t>172</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63" w:history="1">
            <w:r w:rsidR="00B169B8" w:rsidRPr="00B92242">
              <w:rPr>
                <w:rStyle w:val="Hyperlink"/>
                <w:rFonts w:ascii="Times New Roman" w:hAnsi="Times New Roman" w:cs="Times New Roman"/>
                <w:noProof/>
                <w:lang w:val="bg"/>
              </w:rPr>
              <w:t>9.2</w:t>
            </w:r>
            <w:r w:rsidR="00B169B8">
              <w:rPr>
                <w:rFonts w:eastAsiaTheme="minorEastAsia"/>
                <w:noProof/>
              </w:rPr>
              <w:tab/>
            </w:r>
            <w:r w:rsidR="00B169B8" w:rsidRPr="00B92242">
              <w:rPr>
                <w:rStyle w:val="Hyperlink"/>
                <w:rFonts w:ascii="Times New Roman" w:hAnsi="Times New Roman" w:cs="Times New Roman"/>
                <w:noProof/>
                <w:lang w:val="bg"/>
              </w:rPr>
              <w:t>Предоставяне на възможност на енергийните общности да споделят и разпределят енергия на местно равнище и ефективно</w:t>
            </w:r>
            <w:r w:rsidR="00B169B8">
              <w:rPr>
                <w:noProof/>
                <w:webHidden/>
              </w:rPr>
              <w:tab/>
            </w:r>
            <w:r w:rsidR="00B169B8">
              <w:rPr>
                <w:noProof/>
                <w:webHidden/>
              </w:rPr>
              <w:fldChar w:fldCharType="begin"/>
            </w:r>
            <w:r w:rsidR="00B169B8">
              <w:rPr>
                <w:noProof/>
                <w:webHidden/>
              </w:rPr>
              <w:instrText xml:space="preserve"> PAGEREF _Toc203141363 \h </w:instrText>
            </w:r>
            <w:r w:rsidR="00B169B8">
              <w:rPr>
                <w:noProof/>
                <w:webHidden/>
              </w:rPr>
            </w:r>
            <w:r w:rsidR="00B169B8">
              <w:rPr>
                <w:noProof/>
                <w:webHidden/>
              </w:rPr>
              <w:fldChar w:fldCharType="separate"/>
            </w:r>
            <w:r w:rsidR="00B169B8">
              <w:rPr>
                <w:noProof/>
                <w:webHidden/>
              </w:rPr>
              <w:t>173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4" w:history="1">
            <w:r w:rsidR="00B169B8" w:rsidRPr="00B92242">
              <w:rPr>
                <w:rStyle w:val="Hyperlink"/>
                <w:rFonts w:ascii="Times New Roman" w:hAnsi="Times New Roman" w:cs="Times New Roman"/>
                <w:noProof/>
                <w:lang w:val="bg"/>
              </w:rPr>
              <w:t>9.2.1</w:t>
            </w:r>
            <w:r w:rsidR="00B169B8">
              <w:rPr>
                <w:rFonts w:eastAsiaTheme="minorEastAsia"/>
                <w:noProof/>
              </w:rPr>
              <w:tab/>
            </w:r>
            <w:r w:rsidR="00B169B8" w:rsidRPr="00B92242">
              <w:rPr>
                <w:rStyle w:val="Hyperlink"/>
                <w:rFonts w:ascii="Times New Roman" w:hAnsi="Times New Roman" w:cs="Times New Roman"/>
                <w:noProof/>
                <w:lang w:val="bg"/>
              </w:rPr>
              <w:t>Законово определяне и създаване на възможности за вътрешни разпределителни системи за енергийни общности</w:t>
            </w:r>
            <w:r w:rsidR="00B169B8">
              <w:rPr>
                <w:noProof/>
                <w:webHidden/>
              </w:rPr>
              <w:tab/>
            </w:r>
            <w:r w:rsidR="00B169B8">
              <w:rPr>
                <w:noProof/>
                <w:webHidden/>
              </w:rPr>
              <w:fldChar w:fldCharType="begin"/>
            </w:r>
            <w:r w:rsidR="00B169B8">
              <w:rPr>
                <w:noProof/>
                <w:webHidden/>
              </w:rPr>
              <w:instrText xml:space="preserve"> PAGEREF _Toc203141364 \h </w:instrText>
            </w:r>
            <w:r w:rsidR="00B169B8">
              <w:rPr>
                <w:noProof/>
                <w:webHidden/>
              </w:rPr>
            </w:r>
            <w:r w:rsidR="00B169B8">
              <w:rPr>
                <w:noProof/>
                <w:webHidden/>
              </w:rPr>
              <w:fldChar w:fldCharType="separate"/>
            </w:r>
            <w:r w:rsidR="00B169B8">
              <w:rPr>
                <w:noProof/>
                <w:webHidden/>
              </w:rPr>
              <w:t>173</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5" w:history="1">
            <w:r w:rsidR="00B169B8" w:rsidRPr="00B92242">
              <w:rPr>
                <w:rStyle w:val="Hyperlink"/>
                <w:rFonts w:ascii="Times New Roman" w:hAnsi="Times New Roman" w:cs="Times New Roman"/>
                <w:noProof/>
                <w:lang w:val="bg"/>
              </w:rPr>
              <w:t>9.2.2</w:t>
            </w:r>
            <w:r w:rsidR="00B169B8">
              <w:rPr>
                <w:rFonts w:eastAsiaTheme="minorEastAsia"/>
                <w:noProof/>
              </w:rPr>
              <w:tab/>
            </w:r>
            <w:r w:rsidR="00B169B8" w:rsidRPr="00B92242">
              <w:rPr>
                <w:rStyle w:val="Hyperlink"/>
                <w:rFonts w:ascii="Times New Roman" w:hAnsi="Times New Roman" w:cs="Times New Roman"/>
                <w:noProof/>
                <w:lang w:val="bg"/>
              </w:rPr>
              <w:t>Активиране на колективното собствено потребление и виртуалното споделяне на енергия</w:t>
            </w:r>
            <w:r w:rsidR="00B169B8">
              <w:rPr>
                <w:noProof/>
                <w:webHidden/>
              </w:rPr>
              <w:tab/>
            </w:r>
            <w:r w:rsidR="00B169B8">
              <w:rPr>
                <w:noProof/>
                <w:webHidden/>
              </w:rPr>
              <w:fldChar w:fldCharType="begin"/>
            </w:r>
            <w:r w:rsidR="00B169B8">
              <w:rPr>
                <w:noProof/>
                <w:webHidden/>
              </w:rPr>
              <w:instrText xml:space="preserve"> PAGEREF _Toc203141365 \h </w:instrText>
            </w:r>
            <w:r w:rsidR="00B169B8">
              <w:rPr>
                <w:noProof/>
                <w:webHidden/>
              </w:rPr>
            </w:r>
            <w:r w:rsidR="00B169B8">
              <w:rPr>
                <w:noProof/>
                <w:webHidden/>
              </w:rPr>
              <w:fldChar w:fldCharType="separate"/>
            </w:r>
            <w:r w:rsidR="00B169B8">
              <w:rPr>
                <w:noProof/>
                <w:webHidden/>
              </w:rPr>
              <w:t>174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6" w:history="1">
            <w:r w:rsidR="00B169B8" w:rsidRPr="00B92242">
              <w:rPr>
                <w:rStyle w:val="Hyperlink"/>
                <w:rFonts w:ascii="Times New Roman" w:hAnsi="Times New Roman" w:cs="Times New Roman"/>
                <w:noProof/>
                <w:lang w:val="bg"/>
              </w:rPr>
              <w:t>9.2.3</w:t>
            </w:r>
            <w:r w:rsidR="00B169B8">
              <w:rPr>
                <w:rFonts w:eastAsiaTheme="minorEastAsia"/>
                <w:noProof/>
              </w:rPr>
              <w:tab/>
            </w:r>
            <w:r w:rsidR="00B169B8" w:rsidRPr="00B92242">
              <w:rPr>
                <w:rStyle w:val="Hyperlink"/>
                <w:rFonts w:ascii="Times New Roman" w:hAnsi="Times New Roman" w:cs="Times New Roman"/>
                <w:noProof/>
                <w:lang w:val="bg"/>
              </w:rPr>
              <w:t>Въвеждане на разпоредби за балансиращия пазар за енергийните общности</w:t>
            </w:r>
            <w:r w:rsidR="00B169B8">
              <w:rPr>
                <w:noProof/>
                <w:webHidden/>
              </w:rPr>
              <w:tab/>
            </w:r>
            <w:r w:rsidR="00B169B8">
              <w:rPr>
                <w:noProof/>
                <w:webHidden/>
              </w:rPr>
              <w:fldChar w:fldCharType="begin"/>
            </w:r>
            <w:r w:rsidR="00B169B8">
              <w:rPr>
                <w:noProof/>
                <w:webHidden/>
              </w:rPr>
              <w:instrText xml:space="preserve"> PAGEREF _Toc203141366 \h </w:instrText>
            </w:r>
            <w:r w:rsidR="00B169B8">
              <w:rPr>
                <w:noProof/>
                <w:webHidden/>
              </w:rPr>
            </w:r>
            <w:r w:rsidR="00B169B8">
              <w:rPr>
                <w:noProof/>
                <w:webHidden/>
              </w:rPr>
              <w:fldChar w:fldCharType="separate"/>
            </w:r>
            <w:r w:rsidR="00B169B8">
              <w:rPr>
                <w:noProof/>
                <w:webHidden/>
              </w:rPr>
              <w:t>174</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7" w:history="1">
            <w:r w:rsidR="00B169B8" w:rsidRPr="00B92242">
              <w:rPr>
                <w:rStyle w:val="Hyperlink"/>
                <w:rFonts w:ascii="Times New Roman" w:hAnsi="Times New Roman" w:cs="Times New Roman"/>
                <w:noProof/>
                <w:lang w:val="bg"/>
              </w:rPr>
              <w:t>9.2.4</w:t>
            </w:r>
            <w:r w:rsidR="00B169B8">
              <w:rPr>
                <w:rFonts w:eastAsiaTheme="minorEastAsia"/>
                <w:noProof/>
              </w:rPr>
              <w:tab/>
            </w:r>
            <w:r w:rsidR="00B169B8" w:rsidRPr="00B92242">
              <w:rPr>
                <w:rStyle w:val="Hyperlink"/>
                <w:rFonts w:ascii="Times New Roman" w:hAnsi="Times New Roman" w:cs="Times New Roman"/>
                <w:noProof/>
                <w:lang w:val="bg"/>
              </w:rPr>
              <w:t>Установяване на опростено лицензиране и освобождаване за малки енергийни общности</w:t>
            </w:r>
            <w:r w:rsidR="00B169B8">
              <w:rPr>
                <w:noProof/>
                <w:webHidden/>
              </w:rPr>
              <w:tab/>
            </w:r>
            <w:r w:rsidR="00B169B8">
              <w:rPr>
                <w:noProof/>
                <w:webHidden/>
              </w:rPr>
              <w:fldChar w:fldCharType="begin"/>
            </w:r>
            <w:r w:rsidR="00B169B8">
              <w:rPr>
                <w:noProof/>
                <w:webHidden/>
              </w:rPr>
              <w:instrText xml:space="preserve"> PAGEREF _Toc203141367 \h </w:instrText>
            </w:r>
            <w:r w:rsidR="00B169B8">
              <w:rPr>
                <w:noProof/>
                <w:webHidden/>
              </w:rPr>
            </w:r>
            <w:r w:rsidR="00B169B8">
              <w:rPr>
                <w:noProof/>
                <w:webHidden/>
              </w:rPr>
              <w:fldChar w:fldCharType="separate"/>
            </w:r>
            <w:r w:rsidR="00B169B8">
              <w:rPr>
                <w:noProof/>
                <w:webHidden/>
              </w:rPr>
              <w:t>175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8" w:history="1">
            <w:r w:rsidR="00B169B8" w:rsidRPr="00B92242">
              <w:rPr>
                <w:rStyle w:val="Hyperlink"/>
                <w:rFonts w:ascii="Times New Roman" w:hAnsi="Times New Roman" w:cs="Times New Roman"/>
                <w:noProof/>
                <w:lang w:val="bg"/>
              </w:rPr>
              <w:t>9.2.5</w:t>
            </w:r>
            <w:r w:rsidR="00B169B8">
              <w:rPr>
                <w:rFonts w:eastAsiaTheme="minorEastAsia"/>
                <w:noProof/>
              </w:rPr>
              <w:tab/>
            </w:r>
            <w:r w:rsidR="00B169B8" w:rsidRPr="00B92242">
              <w:rPr>
                <w:rStyle w:val="Hyperlink"/>
                <w:rFonts w:ascii="Times New Roman" w:hAnsi="Times New Roman" w:cs="Times New Roman"/>
                <w:noProof/>
                <w:lang w:val="bg"/>
              </w:rPr>
              <w:t>Реформиране на тарифните модели, за да се избегне санкционирането на споделянето на енергия на местно равнище</w:t>
            </w:r>
            <w:r w:rsidR="00B169B8">
              <w:rPr>
                <w:noProof/>
                <w:webHidden/>
              </w:rPr>
              <w:tab/>
            </w:r>
            <w:r w:rsidR="00B169B8">
              <w:rPr>
                <w:noProof/>
                <w:webHidden/>
              </w:rPr>
              <w:fldChar w:fldCharType="begin"/>
            </w:r>
            <w:r w:rsidR="00B169B8">
              <w:rPr>
                <w:noProof/>
                <w:webHidden/>
              </w:rPr>
              <w:instrText xml:space="preserve"> PAGEREF _Toc203141368 \h </w:instrText>
            </w:r>
            <w:r w:rsidR="00B169B8">
              <w:rPr>
                <w:noProof/>
                <w:webHidden/>
              </w:rPr>
            </w:r>
            <w:r w:rsidR="00B169B8">
              <w:rPr>
                <w:noProof/>
                <w:webHidden/>
              </w:rPr>
              <w:fldChar w:fldCharType="separate"/>
            </w:r>
            <w:r w:rsidR="00B169B8">
              <w:rPr>
                <w:noProof/>
                <w:webHidden/>
              </w:rPr>
              <w:t>175</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69" w:history="1">
            <w:r w:rsidR="00B169B8" w:rsidRPr="00B92242">
              <w:rPr>
                <w:rStyle w:val="Hyperlink"/>
                <w:rFonts w:ascii="Times New Roman" w:hAnsi="Times New Roman" w:cs="Times New Roman"/>
                <w:noProof/>
                <w:lang w:val="bg"/>
              </w:rPr>
              <w:t>9.2.6</w:t>
            </w:r>
            <w:r w:rsidR="00B169B8">
              <w:rPr>
                <w:rFonts w:eastAsiaTheme="minorEastAsia"/>
                <w:noProof/>
              </w:rPr>
              <w:tab/>
            </w:r>
            <w:r w:rsidR="00B169B8" w:rsidRPr="00B92242">
              <w:rPr>
                <w:rStyle w:val="Hyperlink"/>
                <w:rFonts w:ascii="Times New Roman" w:hAnsi="Times New Roman" w:cs="Times New Roman"/>
                <w:noProof/>
                <w:lang w:val="bg"/>
              </w:rPr>
              <w:t>Създаване на национална рамка за обслужване на едно гише за енергийните общности</w:t>
            </w:r>
            <w:r w:rsidR="00B169B8">
              <w:rPr>
                <w:noProof/>
                <w:webHidden/>
              </w:rPr>
              <w:tab/>
            </w:r>
            <w:r w:rsidR="00B169B8">
              <w:rPr>
                <w:noProof/>
                <w:webHidden/>
              </w:rPr>
              <w:fldChar w:fldCharType="begin"/>
            </w:r>
            <w:r w:rsidR="00B169B8">
              <w:rPr>
                <w:noProof/>
                <w:webHidden/>
              </w:rPr>
              <w:instrText xml:space="preserve"> PAGEREF _Toc203141369 \h </w:instrText>
            </w:r>
            <w:r w:rsidR="00B169B8">
              <w:rPr>
                <w:noProof/>
                <w:webHidden/>
              </w:rPr>
            </w:r>
            <w:r w:rsidR="00B169B8">
              <w:rPr>
                <w:noProof/>
                <w:webHidden/>
              </w:rPr>
              <w:fldChar w:fldCharType="separate"/>
            </w:r>
            <w:r w:rsidR="00B169B8">
              <w:rPr>
                <w:noProof/>
                <w:webHidden/>
              </w:rPr>
              <w:t>176</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70" w:history="1">
            <w:r w:rsidR="00B169B8" w:rsidRPr="00B92242">
              <w:rPr>
                <w:rStyle w:val="Hyperlink"/>
                <w:rFonts w:ascii="Times New Roman" w:hAnsi="Times New Roman" w:cs="Times New Roman"/>
                <w:noProof/>
                <w:lang w:val="bg"/>
              </w:rPr>
              <w:t>9.3</w:t>
            </w:r>
            <w:r w:rsidR="00B169B8">
              <w:rPr>
                <w:rFonts w:eastAsiaTheme="minorEastAsia"/>
                <w:noProof/>
              </w:rPr>
              <w:tab/>
            </w:r>
            <w:r w:rsidR="00B169B8" w:rsidRPr="00B92242">
              <w:rPr>
                <w:rStyle w:val="Hyperlink"/>
                <w:rFonts w:ascii="Times New Roman" w:hAnsi="Times New Roman" w:cs="Times New Roman"/>
                <w:noProof/>
                <w:lang w:val="bg"/>
              </w:rPr>
              <w:t>Създаване на регулаторна лаборатория за енергийни иновации в България</w:t>
            </w:r>
            <w:r w:rsidR="00B169B8">
              <w:rPr>
                <w:noProof/>
                <w:webHidden/>
              </w:rPr>
              <w:tab/>
            </w:r>
            <w:r w:rsidR="00B169B8">
              <w:rPr>
                <w:noProof/>
                <w:webHidden/>
              </w:rPr>
              <w:fldChar w:fldCharType="begin"/>
            </w:r>
            <w:r w:rsidR="00B169B8">
              <w:rPr>
                <w:noProof/>
                <w:webHidden/>
              </w:rPr>
              <w:instrText xml:space="preserve"> PAGEREF _Toc203141370 \h </w:instrText>
            </w:r>
            <w:r w:rsidR="00B169B8">
              <w:rPr>
                <w:noProof/>
                <w:webHidden/>
              </w:rPr>
            </w:r>
            <w:r w:rsidR="00B169B8">
              <w:rPr>
                <w:noProof/>
                <w:webHidden/>
              </w:rPr>
              <w:fldChar w:fldCharType="separate"/>
            </w:r>
            <w:r w:rsidR="00B169B8">
              <w:rPr>
                <w:noProof/>
                <w:webHidden/>
              </w:rPr>
              <w:t>176</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71" w:history="1">
            <w:r w:rsidR="00B169B8" w:rsidRPr="00B92242">
              <w:rPr>
                <w:rStyle w:val="Hyperlink"/>
                <w:rFonts w:ascii="Times New Roman" w:hAnsi="Times New Roman" w:cs="Times New Roman"/>
                <w:noProof/>
                <w:lang w:val="bg"/>
              </w:rPr>
              <w:t>9.4</w:t>
            </w:r>
            <w:r w:rsidR="00B169B8">
              <w:rPr>
                <w:rFonts w:eastAsiaTheme="minorEastAsia"/>
                <w:noProof/>
              </w:rPr>
              <w:tab/>
            </w:r>
            <w:r w:rsidR="00B169B8" w:rsidRPr="00B92242">
              <w:rPr>
                <w:rStyle w:val="Hyperlink"/>
                <w:rFonts w:ascii="Times New Roman" w:hAnsi="Times New Roman" w:cs="Times New Roman"/>
                <w:noProof/>
                <w:lang w:val="bg"/>
              </w:rPr>
              <w:t>По-нататъшно реформиране на мрежовите тарифи и възстановяване на разходите, за да се даде възможност за интелигентни мрежи и справедлив достъп</w:t>
            </w:r>
            <w:r w:rsidR="00B169B8">
              <w:rPr>
                <w:noProof/>
                <w:webHidden/>
              </w:rPr>
              <w:tab/>
            </w:r>
            <w:r w:rsidR="00B169B8">
              <w:rPr>
                <w:noProof/>
                <w:webHidden/>
              </w:rPr>
              <w:fldChar w:fldCharType="begin"/>
            </w:r>
            <w:r w:rsidR="00B169B8">
              <w:rPr>
                <w:noProof/>
                <w:webHidden/>
              </w:rPr>
              <w:instrText xml:space="preserve"> PAGEREF _Toc203141371 \h </w:instrText>
            </w:r>
            <w:r w:rsidR="00B169B8">
              <w:rPr>
                <w:noProof/>
                <w:webHidden/>
              </w:rPr>
            </w:r>
            <w:r w:rsidR="00B169B8">
              <w:rPr>
                <w:noProof/>
                <w:webHidden/>
              </w:rPr>
              <w:fldChar w:fldCharType="separate"/>
            </w:r>
            <w:r w:rsidR="00B169B8">
              <w:rPr>
                <w:noProof/>
                <w:webHidden/>
              </w:rPr>
              <w:t>178</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2" w:history="1">
            <w:r w:rsidR="00B169B8" w:rsidRPr="00B92242">
              <w:rPr>
                <w:rStyle w:val="Hyperlink"/>
                <w:rFonts w:ascii="Times New Roman" w:hAnsi="Times New Roman" w:cs="Times New Roman"/>
                <w:noProof/>
                <w:lang w:val="bg"/>
              </w:rPr>
              <w:t>9.4.1</w:t>
            </w:r>
            <w:r w:rsidR="00B169B8">
              <w:rPr>
                <w:rFonts w:eastAsiaTheme="minorEastAsia"/>
                <w:noProof/>
              </w:rPr>
              <w:tab/>
            </w:r>
            <w:r w:rsidR="00B169B8" w:rsidRPr="00B92242">
              <w:rPr>
                <w:rStyle w:val="Hyperlink"/>
                <w:rFonts w:ascii="Times New Roman" w:hAnsi="Times New Roman" w:cs="Times New Roman"/>
                <w:noProof/>
                <w:lang w:val="bg"/>
              </w:rPr>
              <w:t>Преход към модел на тарифите въз основа на капацитета</w:t>
            </w:r>
            <w:r w:rsidR="00B169B8">
              <w:rPr>
                <w:noProof/>
                <w:webHidden/>
              </w:rPr>
              <w:tab/>
            </w:r>
            <w:r w:rsidR="00B169B8">
              <w:rPr>
                <w:noProof/>
                <w:webHidden/>
              </w:rPr>
              <w:fldChar w:fldCharType="begin"/>
            </w:r>
            <w:r w:rsidR="00B169B8">
              <w:rPr>
                <w:noProof/>
                <w:webHidden/>
              </w:rPr>
              <w:instrText xml:space="preserve"> PAGEREF _Toc203141372 \h </w:instrText>
            </w:r>
            <w:r w:rsidR="00B169B8">
              <w:rPr>
                <w:noProof/>
                <w:webHidden/>
              </w:rPr>
            </w:r>
            <w:r w:rsidR="00B169B8">
              <w:rPr>
                <w:noProof/>
                <w:webHidden/>
              </w:rPr>
              <w:fldChar w:fldCharType="separate"/>
            </w:r>
            <w:r w:rsidR="00B169B8">
              <w:rPr>
                <w:noProof/>
                <w:webHidden/>
              </w:rPr>
              <w:t>178</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3" w:history="1">
            <w:r w:rsidR="00B169B8" w:rsidRPr="00B92242">
              <w:rPr>
                <w:rStyle w:val="Hyperlink"/>
                <w:rFonts w:ascii="Times New Roman" w:hAnsi="Times New Roman" w:cs="Times New Roman"/>
                <w:noProof/>
                <w:lang w:val="bg"/>
              </w:rPr>
              <w:t>9.4.2</w:t>
            </w:r>
            <w:r w:rsidR="00B169B8">
              <w:rPr>
                <w:rFonts w:eastAsiaTheme="minorEastAsia"/>
                <w:noProof/>
              </w:rPr>
              <w:tab/>
            </w:r>
            <w:r w:rsidR="00B169B8" w:rsidRPr="00B92242">
              <w:rPr>
                <w:rStyle w:val="Hyperlink"/>
                <w:rFonts w:ascii="Times New Roman" w:hAnsi="Times New Roman" w:cs="Times New Roman"/>
                <w:noProof/>
                <w:lang w:val="bg"/>
              </w:rPr>
              <w:t>Възстановяване на разходите за интелигентни измервателни системи и платформи за данни</w:t>
            </w:r>
            <w:r w:rsidR="00B169B8">
              <w:rPr>
                <w:noProof/>
                <w:webHidden/>
              </w:rPr>
              <w:tab/>
            </w:r>
            <w:r w:rsidR="00B169B8">
              <w:rPr>
                <w:noProof/>
                <w:webHidden/>
              </w:rPr>
              <w:fldChar w:fldCharType="begin"/>
            </w:r>
            <w:r w:rsidR="00B169B8">
              <w:rPr>
                <w:noProof/>
                <w:webHidden/>
              </w:rPr>
              <w:instrText xml:space="preserve"> PAGEREF _Toc203141373 \h </w:instrText>
            </w:r>
            <w:r w:rsidR="00B169B8">
              <w:rPr>
                <w:noProof/>
                <w:webHidden/>
              </w:rPr>
            </w:r>
            <w:r w:rsidR="00B169B8">
              <w:rPr>
                <w:noProof/>
                <w:webHidden/>
              </w:rPr>
              <w:fldChar w:fldCharType="separate"/>
            </w:r>
            <w:r w:rsidR="00B169B8">
              <w:rPr>
                <w:noProof/>
                <w:webHidden/>
              </w:rPr>
              <w:t>179</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4" w:history="1">
            <w:r w:rsidR="00B169B8" w:rsidRPr="00B92242">
              <w:rPr>
                <w:rStyle w:val="Hyperlink"/>
                <w:rFonts w:ascii="Times New Roman" w:hAnsi="Times New Roman" w:cs="Times New Roman"/>
                <w:noProof/>
                <w:lang w:val="bg"/>
              </w:rPr>
              <w:t>9.4.3</w:t>
            </w:r>
            <w:r w:rsidR="00B169B8">
              <w:rPr>
                <w:rFonts w:eastAsiaTheme="minorEastAsia"/>
                <w:noProof/>
              </w:rPr>
              <w:tab/>
            </w:r>
            <w:r w:rsidR="00B169B8" w:rsidRPr="00B92242">
              <w:rPr>
                <w:rStyle w:val="Hyperlink"/>
                <w:rFonts w:ascii="Times New Roman" w:hAnsi="Times New Roman" w:cs="Times New Roman"/>
                <w:noProof/>
                <w:lang w:val="bg"/>
              </w:rPr>
              <w:t>Гарантиране на справедливи мрежови тарифи за произвеждащите потребители и енергийните общности</w:t>
            </w:r>
            <w:r w:rsidR="00B169B8">
              <w:rPr>
                <w:noProof/>
                <w:webHidden/>
              </w:rPr>
              <w:tab/>
            </w:r>
            <w:r w:rsidR="00B169B8">
              <w:rPr>
                <w:noProof/>
                <w:webHidden/>
              </w:rPr>
              <w:fldChar w:fldCharType="begin"/>
            </w:r>
            <w:r w:rsidR="00B169B8">
              <w:rPr>
                <w:noProof/>
                <w:webHidden/>
              </w:rPr>
              <w:instrText xml:space="preserve"> PAGEREF _Toc203141374 \h </w:instrText>
            </w:r>
            <w:r w:rsidR="00B169B8">
              <w:rPr>
                <w:noProof/>
                <w:webHidden/>
              </w:rPr>
            </w:r>
            <w:r w:rsidR="00B169B8">
              <w:rPr>
                <w:noProof/>
                <w:webHidden/>
              </w:rPr>
              <w:fldChar w:fldCharType="separate"/>
            </w:r>
            <w:r w:rsidR="00B169B8">
              <w:rPr>
                <w:noProof/>
                <w:webHidden/>
              </w:rPr>
              <w:t>179</w:t>
            </w:r>
            <w:r w:rsidR="00B169B8">
              <w:rPr>
                <w:noProof/>
                <w:webHidden/>
              </w:rPr>
              <w:fldChar w:fldCharType="end"/>
            </w:r>
          </w:hyperlink>
        </w:p>
        <w:p w:rsidR="00B169B8" w:rsidRDefault="00567EA3">
          <w:pPr>
            <w:pStyle w:val="TOC2"/>
            <w:tabs>
              <w:tab w:val="left" w:pos="880"/>
              <w:tab w:val="right" w:leader="dot" w:pos="9367"/>
            </w:tabs>
            <w:rPr>
              <w:rFonts w:eastAsiaTheme="minorEastAsia"/>
              <w:noProof/>
            </w:rPr>
          </w:pPr>
          <w:hyperlink w:anchor="_Toc203141375" w:history="1">
            <w:r w:rsidR="00B169B8" w:rsidRPr="00B92242">
              <w:rPr>
                <w:rStyle w:val="Hyperlink"/>
                <w:rFonts w:ascii="Times New Roman" w:hAnsi="Times New Roman" w:cs="Times New Roman"/>
                <w:noProof/>
                <w:lang w:val="bg"/>
              </w:rPr>
              <w:t>9.5</w:t>
            </w:r>
            <w:r w:rsidR="00B169B8">
              <w:rPr>
                <w:rFonts w:eastAsiaTheme="minorEastAsia"/>
                <w:noProof/>
              </w:rPr>
              <w:tab/>
            </w:r>
            <w:r w:rsidR="00B169B8" w:rsidRPr="00B92242">
              <w:rPr>
                <w:rStyle w:val="Hyperlink"/>
                <w:rFonts w:ascii="Times New Roman" w:hAnsi="Times New Roman" w:cs="Times New Roman"/>
                <w:noProof/>
                <w:lang w:val="bg"/>
              </w:rPr>
              <w:t>Въвеждане на нови правни определения</w:t>
            </w:r>
            <w:r w:rsidR="00B169B8">
              <w:rPr>
                <w:noProof/>
                <w:webHidden/>
              </w:rPr>
              <w:tab/>
            </w:r>
            <w:r w:rsidR="00B169B8">
              <w:rPr>
                <w:noProof/>
                <w:webHidden/>
              </w:rPr>
              <w:fldChar w:fldCharType="begin"/>
            </w:r>
            <w:r w:rsidR="00B169B8">
              <w:rPr>
                <w:noProof/>
                <w:webHidden/>
              </w:rPr>
              <w:instrText xml:space="preserve"> PAGEREF _Toc203141375 \h </w:instrText>
            </w:r>
            <w:r w:rsidR="00B169B8">
              <w:rPr>
                <w:noProof/>
                <w:webHidden/>
              </w:rPr>
            </w:r>
            <w:r w:rsidR="00B169B8">
              <w:rPr>
                <w:noProof/>
                <w:webHidden/>
              </w:rPr>
              <w:fldChar w:fldCharType="separate"/>
            </w:r>
            <w:r w:rsidR="00B169B8">
              <w:rPr>
                <w:noProof/>
                <w:webHidden/>
              </w:rPr>
              <w:t>180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6" w:history="1">
            <w:r w:rsidR="00B169B8" w:rsidRPr="00B92242">
              <w:rPr>
                <w:rStyle w:val="Hyperlink"/>
                <w:rFonts w:ascii="Times New Roman" w:hAnsi="Times New Roman" w:cs="Times New Roman"/>
                <w:noProof/>
                <w:lang w:val="bg"/>
              </w:rPr>
              <w:t>9.5.1</w:t>
            </w:r>
            <w:r w:rsidR="00B169B8">
              <w:rPr>
                <w:rFonts w:eastAsiaTheme="minorEastAsia"/>
                <w:noProof/>
              </w:rPr>
              <w:tab/>
            </w:r>
            <w:r w:rsidR="00B169B8" w:rsidRPr="00B92242">
              <w:rPr>
                <w:rStyle w:val="Hyperlink"/>
                <w:rFonts w:ascii="Times New Roman" w:hAnsi="Times New Roman" w:cs="Times New Roman"/>
                <w:noProof/>
                <w:lang w:val="bg"/>
              </w:rPr>
              <w:t>Нетно измерване</w:t>
            </w:r>
            <w:r w:rsidR="00B169B8">
              <w:rPr>
                <w:noProof/>
                <w:webHidden/>
              </w:rPr>
              <w:tab/>
            </w:r>
            <w:r w:rsidR="00B169B8">
              <w:rPr>
                <w:noProof/>
                <w:webHidden/>
              </w:rPr>
              <w:fldChar w:fldCharType="begin"/>
            </w:r>
            <w:r w:rsidR="00B169B8">
              <w:rPr>
                <w:noProof/>
                <w:webHidden/>
              </w:rPr>
              <w:instrText xml:space="preserve"> PAGEREF _Toc203141376 \h </w:instrText>
            </w:r>
            <w:r w:rsidR="00B169B8">
              <w:rPr>
                <w:noProof/>
                <w:webHidden/>
              </w:rPr>
            </w:r>
            <w:r w:rsidR="00B169B8">
              <w:rPr>
                <w:noProof/>
                <w:webHidden/>
              </w:rPr>
              <w:fldChar w:fldCharType="separate"/>
            </w:r>
            <w:r w:rsidR="00B169B8">
              <w:rPr>
                <w:noProof/>
                <w:webHidden/>
              </w:rPr>
              <w:t>180</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7" w:history="1">
            <w:r w:rsidR="00B169B8" w:rsidRPr="00B92242">
              <w:rPr>
                <w:rStyle w:val="Hyperlink"/>
                <w:rFonts w:ascii="Times New Roman" w:hAnsi="Times New Roman" w:cs="Times New Roman"/>
                <w:noProof/>
                <w:lang w:val="bg"/>
              </w:rPr>
              <w:t>9.5.2</w:t>
            </w:r>
            <w:r w:rsidR="00B169B8">
              <w:rPr>
                <w:rFonts w:eastAsiaTheme="minorEastAsia"/>
                <w:noProof/>
              </w:rPr>
              <w:tab/>
            </w:r>
            <w:r w:rsidR="00B169B8" w:rsidRPr="00B92242">
              <w:rPr>
                <w:rStyle w:val="Hyperlink"/>
                <w:rFonts w:ascii="Times New Roman" w:hAnsi="Times New Roman" w:cs="Times New Roman"/>
                <w:noProof/>
                <w:lang w:val="bg"/>
              </w:rPr>
              <w:t>Виртуална мрежа за измерване</w:t>
            </w:r>
            <w:r w:rsidR="00B169B8">
              <w:rPr>
                <w:noProof/>
                <w:webHidden/>
              </w:rPr>
              <w:tab/>
            </w:r>
            <w:r w:rsidR="00B169B8">
              <w:rPr>
                <w:noProof/>
                <w:webHidden/>
              </w:rPr>
              <w:fldChar w:fldCharType="begin"/>
            </w:r>
            <w:r w:rsidR="00B169B8">
              <w:rPr>
                <w:noProof/>
                <w:webHidden/>
              </w:rPr>
              <w:instrText xml:space="preserve"> PAGEREF _Toc203141377 \h </w:instrText>
            </w:r>
            <w:r w:rsidR="00B169B8">
              <w:rPr>
                <w:noProof/>
                <w:webHidden/>
              </w:rPr>
            </w:r>
            <w:r w:rsidR="00B169B8">
              <w:rPr>
                <w:noProof/>
                <w:webHidden/>
              </w:rPr>
              <w:fldChar w:fldCharType="separate"/>
            </w:r>
            <w:r w:rsidR="00B169B8">
              <w:rPr>
                <w:noProof/>
                <w:webHidden/>
              </w:rPr>
              <w:t>181</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8" w:history="1">
            <w:r w:rsidR="00B169B8" w:rsidRPr="00B92242">
              <w:rPr>
                <w:rStyle w:val="Hyperlink"/>
                <w:rFonts w:ascii="Times New Roman" w:hAnsi="Times New Roman" w:cs="Times New Roman"/>
                <w:noProof/>
                <w:lang w:val="bg"/>
              </w:rPr>
              <w:t>9.5.3</w:t>
            </w:r>
            <w:r w:rsidR="00B169B8">
              <w:rPr>
                <w:rFonts w:eastAsiaTheme="minorEastAsia"/>
                <w:noProof/>
              </w:rPr>
              <w:tab/>
            </w:r>
            <w:r w:rsidR="00B169B8" w:rsidRPr="00B92242">
              <w:rPr>
                <w:rStyle w:val="Hyperlink"/>
                <w:rFonts w:ascii="Times New Roman" w:hAnsi="Times New Roman" w:cs="Times New Roman"/>
                <w:noProof/>
                <w:lang w:val="bg"/>
              </w:rPr>
              <w:t>Виртуално фактуриране</w:t>
            </w:r>
            <w:r w:rsidR="00B169B8">
              <w:rPr>
                <w:noProof/>
                <w:webHidden/>
              </w:rPr>
              <w:tab/>
            </w:r>
            <w:r w:rsidR="00B169B8">
              <w:rPr>
                <w:noProof/>
                <w:webHidden/>
              </w:rPr>
              <w:fldChar w:fldCharType="begin"/>
            </w:r>
            <w:r w:rsidR="00B169B8">
              <w:rPr>
                <w:noProof/>
                <w:webHidden/>
              </w:rPr>
              <w:instrText xml:space="preserve"> PAGEREF _Toc203141378 \h </w:instrText>
            </w:r>
            <w:r w:rsidR="00B169B8">
              <w:rPr>
                <w:noProof/>
                <w:webHidden/>
              </w:rPr>
            </w:r>
            <w:r w:rsidR="00B169B8">
              <w:rPr>
                <w:noProof/>
                <w:webHidden/>
              </w:rPr>
              <w:fldChar w:fldCharType="separate"/>
            </w:r>
            <w:r w:rsidR="00B169B8">
              <w:rPr>
                <w:noProof/>
                <w:webHidden/>
              </w:rPr>
              <w:t>181</w:t>
            </w:r>
            <w:r w:rsidR="00B169B8">
              <w:rPr>
                <w:noProof/>
                <w:webHidden/>
              </w:rPr>
              <w:fldChar w:fldCharType="end"/>
            </w:r>
          </w:hyperlink>
        </w:p>
        <w:p w:rsidR="00B169B8" w:rsidRDefault="00567EA3">
          <w:pPr>
            <w:pStyle w:val="TOC3"/>
            <w:tabs>
              <w:tab w:val="left" w:pos="1320"/>
              <w:tab w:val="right" w:leader="dot" w:pos="9367"/>
            </w:tabs>
            <w:rPr>
              <w:rFonts w:eastAsiaTheme="minorEastAsia"/>
              <w:noProof/>
            </w:rPr>
          </w:pPr>
          <w:hyperlink w:anchor="_Toc203141379" w:history="1">
            <w:r w:rsidR="00B169B8" w:rsidRPr="00B92242">
              <w:rPr>
                <w:rStyle w:val="Hyperlink"/>
                <w:rFonts w:ascii="Times New Roman" w:hAnsi="Times New Roman" w:cs="Times New Roman"/>
                <w:noProof/>
                <w:lang w:val="bg"/>
              </w:rPr>
              <w:t>9.5.4</w:t>
            </w:r>
            <w:r w:rsidR="00B169B8">
              <w:rPr>
                <w:rFonts w:eastAsiaTheme="minorEastAsia"/>
                <w:noProof/>
              </w:rPr>
              <w:tab/>
            </w:r>
            <w:r w:rsidR="00B169B8" w:rsidRPr="00B92242">
              <w:rPr>
                <w:rStyle w:val="Hyperlink"/>
                <w:rFonts w:ascii="Times New Roman" w:hAnsi="Times New Roman" w:cs="Times New Roman"/>
                <w:noProof/>
                <w:lang w:val="bg"/>
              </w:rPr>
              <w:t>Основни изисквания за интелигентно измерване и платформа за данни</w:t>
            </w:r>
            <w:r w:rsidR="00B169B8">
              <w:rPr>
                <w:noProof/>
                <w:webHidden/>
              </w:rPr>
              <w:tab/>
            </w:r>
            <w:r w:rsidR="00B169B8">
              <w:rPr>
                <w:noProof/>
                <w:webHidden/>
              </w:rPr>
              <w:fldChar w:fldCharType="begin"/>
            </w:r>
            <w:r w:rsidR="00B169B8">
              <w:rPr>
                <w:noProof/>
                <w:webHidden/>
              </w:rPr>
              <w:instrText xml:space="preserve"> PAGEREF _Toc203141379 \h </w:instrText>
            </w:r>
            <w:r w:rsidR="00B169B8">
              <w:rPr>
                <w:noProof/>
                <w:webHidden/>
              </w:rPr>
            </w:r>
            <w:r w:rsidR="00B169B8">
              <w:rPr>
                <w:noProof/>
                <w:webHidden/>
              </w:rPr>
              <w:fldChar w:fldCharType="separate"/>
            </w:r>
            <w:r w:rsidR="00B169B8">
              <w:rPr>
                <w:noProof/>
                <w:webHidden/>
              </w:rPr>
              <w:t>182</w:t>
            </w:r>
            <w:r w:rsidR="00B169B8">
              <w:rPr>
                <w:noProof/>
                <w:webHidden/>
              </w:rPr>
              <w:fldChar w:fldCharType="end"/>
            </w:r>
          </w:hyperlink>
        </w:p>
        <w:p w:rsidR="00B169B8" w:rsidRDefault="00567EA3">
          <w:pPr>
            <w:pStyle w:val="TOC1"/>
            <w:tabs>
              <w:tab w:val="left" w:pos="660"/>
              <w:tab w:val="right" w:leader="dot" w:pos="9367"/>
            </w:tabs>
            <w:rPr>
              <w:rFonts w:eastAsiaTheme="minorEastAsia"/>
              <w:noProof/>
            </w:rPr>
          </w:pPr>
          <w:hyperlink w:anchor="_Toc203141380" w:history="1">
            <w:r w:rsidR="00B169B8" w:rsidRPr="00B92242">
              <w:rPr>
                <w:rStyle w:val="Hyperlink"/>
                <w:rFonts w:ascii="Times New Roman" w:hAnsi="Times New Roman" w:cs="Times New Roman"/>
                <w:noProof/>
                <w:lang w:val="bg"/>
              </w:rPr>
              <w:t>9.6</w:t>
            </w:r>
            <w:r w:rsidR="00B169B8">
              <w:rPr>
                <w:rFonts w:eastAsiaTheme="minorEastAsia"/>
                <w:noProof/>
              </w:rPr>
              <w:tab/>
            </w:r>
            <w:r w:rsidR="00B169B8" w:rsidRPr="00B92242">
              <w:rPr>
                <w:rStyle w:val="Hyperlink"/>
                <w:rFonts w:ascii="Times New Roman" w:hAnsi="Times New Roman" w:cs="Times New Roman"/>
                <w:noProof/>
                <w:lang w:val="bg"/>
              </w:rPr>
              <w:t>Поетапен план за въвеждане на данни платформа в България</w:t>
            </w:r>
            <w:r w:rsidR="00B169B8">
              <w:rPr>
                <w:noProof/>
                <w:webHidden/>
              </w:rPr>
              <w:tab/>
            </w:r>
            <w:r w:rsidR="00B169B8">
              <w:rPr>
                <w:noProof/>
                <w:webHidden/>
              </w:rPr>
              <w:fldChar w:fldCharType="begin"/>
            </w:r>
            <w:r w:rsidR="00B169B8">
              <w:rPr>
                <w:noProof/>
                <w:webHidden/>
              </w:rPr>
              <w:instrText xml:space="preserve"> PAGEREF _Toc203141380 \h </w:instrText>
            </w:r>
            <w:r w:rsidR="00B169B8">
              <w:rPr>
                <w:noProof/>
                <w:webHidden/>
              </w:rPr>
            </w:r>
            <w:r w:rsidR="00B169B8">
              <w:rPr>
                <w:noProof/>
                <w:webHidden/>
              </w:rPr>
              <w:fldChar w:fldCharType="separate"/>
            </w:r>
            <w:r w:rsidR="00B169B8">
              <w:rPr>
                <w:noProof/>
                <w:webHidden/>
              </w:rPr>
              <w:t>183</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81" w:history="1">
            <w:r w:rsidR="00B169B8" w:rsidRPr="00B92242">
              <w:rPr>
                <w:rStyle w:val="Hyperlink"/>
                <w:rFonts w:ascii="Times New Roman" w:hAnsi="Times New Roman" w:cs="Times New Roman"/>
                <w:noProof/>
                <w:lang w:val="bg"/>
              </w:rPr>
              <w:t>9.6.1 Етап 1 — етап на пилотиране/изпитване</w:t>
            </w:r>
            <w:r w:rsidR="00B169B8">
              <w:rPr>
                <w:noProof/>
                <w:webHidden/>
              </w:rPr>
              <w:tab/>
            </w:r>
            <w:r w:rsidR="00B169B8">
              <w:rPr>
                <w:noProof/>
                <w:webHidden/>
              </w:rPr>
              <w:fldChar w:fldCharType="begin"/>
            </w:r>
            <w:r w:rsidR="00B169B8">
              <w:rPr>
                <w:noProof/>
                <w:webHidden/>
              </w:rPr>
              <w:instrText xml:space="preserve"> PAGEREF _Toc203141381 \h </w:instrText>
            </w:r>
            <w:r w:rsidR="00B169B8">
              <w:rPr>
                <w:noProof/>
                <w:webHidden/>
              </w:rPr>
            </w:r>
            <w:r w:rsidR="00B169B8">
              <w:rPr>
                <w:noProof/>
                <w:webHidden/>
              </w:rPr>
              <w:fldChar w:fldCharType="separate"/>
            </w:r>
            <w:r w:rsidR="00B169B8">
              <w:rPr>
                <w:noProof/>
                <w:webHidden/>
              </w:rPr>
              <w:t>183</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82" w:history="1">
            <w:r w:rsidR="00B169B8" w:rsidRPr="00B92242">
              <w:rPr>
                <w:rStyle w:val="Hyperlink"/>
                <w:rFonts w:ascii="Times New Roman" w:hAnsi="Times New Roman" w:cs="Times New Roman"/>
                <w:noProof/>
                <w:lang w:val="bg"/>
              </w:rPr>
              <w:t>9.6.2 Етап 2 — Пълно разгръщане при либерализацията на пазара</w:t>
            </w:r>
            <w:r w:rsidR="00B169B8">
              <w:rPr>
                <w:noProof/>
                <w:webHidden/>
              </w:rPr>
              <w:tab/>
            </w:r>
            <w:r w:rsidR="00B169B8">
              <w:rPr>
                <w:noProof/>
                <w:webHidden/>
              </w:rPr>
              <w:fldChar w:fldCharType="begin"/>
            </w:r>
            <w:r w:rsidR="00B169B8">
              <w:rPr>
                <w:noProof/>
                <w:webHidden/>
              </w:rPr>
              <w:instrText xml:space="preserve"> PAGEREF _Toc203141382 \h </w:instrText>
            </w:r>
            <w:r w:rsidR="00B169B8">
              <w:rPr>
                <w:noProof/>
                <w:webHidden/>
              </w:rPr>
            </w:r>
            <w:r w:rsidR="00B169B8">
              <w:rPr>
                <w:noProof/>
                <w:webHidden/>
              </w:rPr>
              <w:fldChar w:fldCharType="separate"/>
            </w:r>
            <w:r w:rsidR="00B169B8">
              <w:rPr>
                <w:noProof/>
                <w:webHidden/>
              </w:rPr>
              <w:t>184</w:t>
            </w:r>
            <w:r w:rsidR="00B169B8">
              <w:rPr>
                <w:noProof/>
                <w:webHidden/>
              </w:rPr>
              <w:fldChar w:fldCharType="end"/>
            </w:r>
          </w:hyperlink>
        </w:p>
        <w:p w:rsidR="00B169B8" w:rsidRDefault="00567EA3">
          <w:pPr>
            <w:pStyle w:val="TOC3"/>
            <w:tabs>
              <w:tab w:val="right" w:leader="dot" w:pos="9367"/>
            </w:tabs>
            <w:rPr>
              <w:rFonts w:eastAsiaTheme="minorEastAsia"/>
              <w:noProof/>
            </w:rPr>
          </w:pPr>
          <w:hyperlink w:anchor="_Toc203141383" w:history="1">
            <w:r w:rsidR="00B169B8" w:rsidRPr="00B92242">
              <w:rPr>
                <w:rStyle w:val="Hyperlink"/>
                <w:rFonts w:ascii="Times New Roman" w:hAnsi="Times New Roman" w:cs="Times New Roman"/>
                <w:noProof/>
                <w:lang w:val="bg"/>
              </w:rPr>
              <w:t>9.6.3 Етап 3 — незадължителен централизиран център за данни</w:t>
            </w:r>
            <w:r w:rsidR="00B169B8">
              <w:rPr>
                <w:noProof/>
                <w:webHidden/>
              </w:rPr>
              <w:tab/>
            </w:r>
            <w:r w:rsidR="00B169B8">
              <w:rPr>
                <w:noProof/>
                <w:webHidden/>
              </w:rPr>
              <w:fldChar w:fldCharType="begin"/>
            </w:r>
            <w:r w:rsidR="00B169B8">
              <w:rPr>
                <w:noProof/>
                <w:webHidden/>
              </w:rPr>
              <w:instrText xml:space="preserve"> PAGEREF _Toc203141383 \h </w:instrText>
            </w:r>
            <w:r w:rsidR="00B169B8">
              <w:rPr>
                <w:noProof/>
                <w:webHidden/>
              </w:rPr>
            </w:r>
            <w:r w:rsidR="00B169B8">
              <w:rPr>
                <w:noProof/>
                <w:webHidden/>
              </w:rPr>
              <w:fldChar w:fldCharType="separate"/>
            </w:r>
            <w:r w:rsidR="00B169B8">
              <w:rPr>
                <w:noProof/>
                <w:webHidden/>
              </w:rPr>
              <w:t>184</w:t>
            </w:r>
            <w:r w:rsidR="00B169B8">
              <w:rPr>
                <w:noProof/>
                <w:webHidden/>
              </w:rPr>
              <w:fldChar w:fldCharType="end"/>
            </w:r>
          </w:hyperlink>
        </w:p>
        <w:p w:rsidR="0044526C" w:rsidRDefault="0044526C">
          <w:r>
            <w:rPr>
              <w:b/>
              <w:bCs/>
              <w:noProof/>
            </w:rPr>
            <w:fldChar w:fldCharType="end"/>
          </w:r>
        </w:p>
      </w:sdtContent>
    </w:sdt>
    <w:p w:rsidR="007906A8" w:rsidRDefault="007906A8"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44526C" w:rsidRDefault="0044526C" w:rsidP="0044526C">
      <w:pPr>
        <w:rPr>
          <w:lang w:val="bg"/>
        </w:rPr>
      </w:pPr>
    </w:p>
    <w:p w:rsidR="003473F6" w:rsidRDefault="003473F6" w:rsidP="0044526C">
      <w:pPr>
        <w:rPr>
          <w:lang w:val="bg"/>
        </w:rPr>
      </w:pPr>
    </w:p>
    <w:p w:rsidR="003473F6" w:rsidRDefault="003473F6" w:rsidP="0044526C">
      <w:pPr>
        <w:rPr>
          <w:lang w:val="bg"/>
        </w:rPr>
      </w:pPr>
    </w:p>
    <w:p w:rsidR="003473F6" w:rsidRDefault="003473F6" w:rsidP="0044526C">
      <w:pPr>
        <w:rPr>
          <w:lang w:val="bg"/>
        </w:rPr>
      </w:pPr>
    </w:p>
    <w:p w:rsidR="003473F6" w:rsidRDefault="003473F6" w:rsidP="0044526C">
      <w:pPr>
        <w:rPr>
          <w:lang w:val="bg"/>
        </w:rPr>
      </w:pPr>
    </w:p>
    <w:p w:rsidR="003473F6" w:rsidRDefault="003473F6" w:rsidP="0044526C">
      <w:pPr>
        <w:rPr>
          <w:lang w:val="bg"/>
        </w:rPr>
      </w:pPr>
    </w:p>
    <w:p w:rsidR="00D76E9D" w:rsidRDefault="00D76E9D" w:rsidP="0044526C">
      <w:pPr>
        <w:rPr>
          <w:lang w:val="bg"/>
        </w:rPr>
      </w:pPr>
    </w:p>
    <w:p w:rsidR="00D76E9D" w:rsidRDefault="00D76E9D" w:rsidP="0044526C">
      <w:pPr>
        <w:rPr>
          <w:lang w:val="bg"/>
        </w:rPr>
      </w:pPr>
    </w:p>
    <w:p w:rsidR="00D76E9D" w:rsidRDefault="00D76E9D" w:rsidP="0044526C">
      <w:pPr>
        <w:rPr>
          <w:lang w:val="bg"/>
        </w:rPr>
      </w:pPr>
    </w:p>
    <w:p w:rsidR="00D76E9D" w:rsidRDefault="00D76E9D" w:rsidP="0044526C">
      <w:pPr>
        <w:rPr>
          <w:lang w:val="bg"/>
        </w:rPr>
      </w:pPr>
    </w:p>
    <w:p w:rsidR="00D76E9D" w:rsidRDefault="00D76E9D" w:rsidP="0044526C">
      <w:pPr>
        <w:rPr>
          <w:lang w:val="bg"/>
        </w:rPr>
      </w:pPr>
    </w:p>
    <w:p w:rsidR="00D76E9D" w:rsidRDefault="00D76E9D" w:rsidP="0044526C">
      <w:pPr>
        <w:rPr>
          <w:lang w:val="bg"/>
        </w:rPr>
      </w:pPr>
    </w:p>
    <w:p w:rsidR="003473F6" w:rsidRDefault="003473F6" w:rsidP="0044526C">
      <w:pPr>
        <w:rPr>
          <w:lang w:val="bg"/>
        </w:rPr>
      </w:pPr>
    </w:p>
    <w:p w:rsidR="003473F6" w:rsidRDefault="003473F6" w:rsidP="0044526C">
      <w:pPr>
        <w:rPr>
          <w:lang w:val="bg"/>
        </w:rPr>
      </w:pPr>
    </w:p>
    <w:p w:rsidR="003862EB" w:rsidRDefault="003862EB" w:rsidP="007906A8">
      <w:pPr>
        <w:rPr>
          <w:lang w:val="bg"/>
        </w:rPr>
      </w:pPr>
    </w:p>
    <w:p w:rsidR="0077019D" w:rsidRDefault="0077019D" w:rsidP="007906A8">
      <w:pPr>
        <w:rPr>
          <w:lang w:val="bg"/>
        </w:rPr>
      </w:pPr>
    </w:p>
    <w:p w:rsidR="0077019D" w:rsidRDefault="0077019D" w:rsidP="007906A8">
      <w:pPr>
        <w:rPr>
          <w:lang w:val="bg"/>
        </w:rPr>
      </w:pPr>
    </w:p>
    <w:p w:rsidR="007906A8" w:rsidRPr="0077019D" w:rsidRDefault="007906A8" w:rsidP="007906A8">
      <w:pPr>
        <w:rPr>
          <w:rFonts w:ascii="Times New Roman" w:hAnsi="Times New Roman" w:cs="Times New Roman"/>
          <w:lang w:val="bg-BG"/>
        </w:rPr>
      </w:pPr>
      <w:r w:rsidRPr="0077019D">
        <w:rPr>
          <w:rFonts w:ascii="Times New Roman" w:hAnsi="Times New Roman" w:cs="Times New Roman"/>
          <w:lang w:val="bg"/>
        </w:rPr>
        <w:lastRenderedPageBreak/>
        <w:t>Определения</w:t>
      </w:r>
      <w:r w:rsidR="0077019D" w:rsidRPr="0077019D">
        <w:rPr>
          <w:rFonts w:ascii="Times New Roman" w:hAnsi="Times New Roman" w:cs="Times New Roman"/>
          <w:lang w:val="bg-BG"/>
        </w:rPr>
        <w:t>:</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65"/>
        <w:gridCol w:w="7474"/>
      </w:tblGrid>
      <w:tr w:rsidR="007906A8" w:rsidRPr="0077019D" w:rsidTr="005A0A7F">
        <w:trPr>
          <w:trHeight w:hRule="exact" w:val="514"/>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AMS</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Усъвършенствана измервателна система</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BRP</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Балансиране на отговорните страни</w:t>
            </w:r>
          </w:p>
        </w:tc>
      </w:tr>
      <w:tr w:rsidR="007906A8" w:rsidRPr="0077019D" w:rsidTr="005A0A7F">
        <w:trPr>
          <w:trHeight w:hRule="exact" w:val="514"/>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ЦИК</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Гражданска енергийна общност</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CECB</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Камара на енергийните общности в България</w:t>
            </w:r>
          </w:p>
        </w:tc>
      </w:tr>
      <w:tr w:rsidR="007906A8" w:rsidRPr="0077019D" w:rsidTr="005A0A7F">
        <w:trPr>
          <w:trHeight w:hRule="exact" w:val="504"/>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CENS</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Цената на енергията, която не се доставя</w:t>
            </w:r>
          </w:p>
        </w:tc>
      </w:tr>
      <w:tr w:rsidR="007906A8" w:rsidRPr="0077019D" w:rsidTr="005A0A7F">
        <w:trPr>
          <w:trHeight w:hRule="exact" w:val="514"/>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CMS</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Система за управление на съдържанието</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CO</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Сертификат за произход</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CSC</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Колективно самопотребление</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ЦДЦК</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Център за изследване на демокрацията</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ПБ</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База данни</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ДСО</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Оператор на разпределителна система</w:t>
            </w:r>
          </w:p>
        </w:tc>
      </w:tr>
      <w:tr w:rsidR="007906A8" w:rsidRPr="0077019D" w:rsidTr="005A0A7F">
        <w:trPr>
          <w:trHeight w:hRule="exact" w:val="514"/>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ЕИП</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Европейско икономическо пространство</w:t>
            </w:r>
          </w:p>
        </w:tc>
      </w:tr>
      <w:tr w:rsidR="007906A8" w:rsidRPr="0077019D" w:rsidTr="005A0A7F">
        <w:trPr>
          <w:trHeight w:hRule="exact" w:val="504"/>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EMIF</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Elhub интерфейс за съобщения</w:t>
            </w:r>
          </w:p>
        </w:tc>
      </w:tr>
      <w:tr w:rsidR="007906A8" w:rsidRPr="0077019D" w:rsidTr="005A0A7F">
        <w:trPr>
          <w:trHeight w:hRule="exact" w:val="514"/>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ЕМС</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Система за управление на енергията</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ЕМС</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Мерки за енергоспестяване</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ЕСО</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Електроенергиен системен оператор</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ЕС</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Европейски съюз</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EV</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Електрическо превозно средство</w:t>
            </w:r>
          </w:p>
        </w:tc>
      </w:tr>
      <w:tr w:rsidR="007906A8" w:rsidRPr="0077019D" w:rsidTr="005A0A7F">
        <w:trPr>
          <w:trHeight w:hRule="exact" w:val="850"/>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КЕВР</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Комисия за енергийно и водно регулиране (КЕВР) Комисия за енергийно и водно регулиране (KEBP)</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FSP</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Доставчик на услуги за гъвкавост</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ПГ</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Парников газ</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Отиди</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Гаранции за произход</w:t>
            </w:r>
          </w:p>
        </w:tc>
      </w:tr>
      <w:tr w:rsidR="007906A8" w:rsidRPr="0077019D" w:rsidTr="005A0A7F">
        <w:trPr>
          <w:trHeight w:hRule="exact" w:val="514"/>
          <w:jc w:val="center"/>
        </w:trPr>
        <w:tc>
          <w:tcPr>
            <w:tcW w:w="1560"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IMED</w:t>
            </w:r>
          </w:p>
        </w:tc>
        <w:tc>
          <w:tcPr>
            <w:tcW w:w="7474"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Директива за вътрешния пазар на електроенергия</w:t>
            </w:r>
          </w:p>
        </w:tc>
      </w:tr>
      <w:tr w:rsidR="007906A8" w:rsidRPr="0077019D" w:rsidTr="005A0A7F">
        <w:trPr>
          <w:trHeight w:hRule="exact" w:val="509"/>
          <w:jc w:val="center"/>
        </w:trPr>
        <w:tc>
          <w:tcPr>
            <w:tcW w:w="1560"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Лец</w:t>
            </w:r>
          </w:p>
        </w:tc>
        <w:tc>
          <w:tcPr>
            <w:tcW w:w="7474"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Местна енергийна общност</w:t>
            </w:r>
          </w:p>
        </w:tc>
      </w:tr>
      <w:tr w:rsidR="007906A8" w:rsidRPr="0077019D" w:rsidTr="005A0A7F">
        <w:trPr>
          <w:trHeight w:hRule="exact" w:val="514"/>
          <w:jc w:val="center"/>
        </w:trPr>
        <w:tc>
          <w:tcPr>
            <w:tcW w:w="1560" w:type="dxa"/>
            <w:tcBorders>
              <w:top w:val="single" w:sz="4" w:space="0" w:color="auto"/>
              <w:left w:val="single" w:sz="4" w:space="0" w:color="auto"/>
              <w:bottom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НПЕК</w:t>
            </w:r>
          </w:p>
        </w:tc>
        <w:tc>
          <w:tcPr>
            <w:tcW w:w="7474" w:type="dxa"/>
            <w:tcBorders>
              <w:top w:val="single" w:sz="4" w:space="0" w:color="auto"/>
              <w:left w:val="single" w:sz="4" w:space="0" w:color="auto"/>
              <w:bottom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Национален план в областта на енергетиката и климата</w:t>
            </w:r>
          </w:p>
        </w:tc>
      </w:tr>
      <w:tr w:rsidR="007906A8" w:rsidRPr="0077019D" w:rsidTr="005A0A7F">
        <w:trPr>
          <w:trHeight w:hRule="exact" w:val="854"/>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br w:type="page"/>
              <w:t>НЕМ</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Регламентът за електроенергийната мрежа и енергийния пазар (норвежки: Forskrift om nettregulering og energimarkedet)</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lastRenderedPageBreak/>
              <w:t>ОНЦ</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Организации с нестопанска цел</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NVE</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Норвежка дирекция "Водни ресурси и енергия"</w:t>
            </w:r>
          </w:p>
        </w:tc>
      </w:tr>
      <w:tr w:rsidR="007906A8" w:rsidRPr="0077019D" w:rsidTr="005A0A7F">
        <w:trPr>
          <w:trHeight w:hRule="exact" w:val="50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ОС</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Операционна система</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PED</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Положителен енергиен район</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СИЕ</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Споразумение за закупуване на електроенергия</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СИЕ</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Споразумение за закупуване на електроенергия</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PV</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Фотоволтаични</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Научноизследователска и развойна дейност;</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Научноизследователска и развойна дейност</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REC</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Общност за възобновяема енергия</w:t>
            </w:r>
          </w:p>
        </w:tc>
      </w:tr>
      <w:tr w:rsidR="007906A8" w:rsidRPr="0077019D" w:rsidTr="005A0A7F">
        <w:trPr>
          <w:trHeight w:hRule="exact" w:val="504"/>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ЧЕРВЕН</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Директива за енергията от възобновяеми източници</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ВЕИ</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Възобновяеми енергийни източници</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РМЕ</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Регулатор на енергетиката</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АУЕР</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Агенция за устойчиво енергийно развитие</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МСП</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Малки и средни предприятия</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ОПС</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Оператор на преносна система</w:t>
            </w:r>
          </w:p>
        </w:tc>
      </w:tr>
      <w:tr w:rsidR="007906A8" w:rsidRPr="0077019D" w:rsidTr="005A0A7F">
        <w:trPr>
          <w:trHeight w:hRule="exact" w:val="509"/>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VNM</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Виртуална мрежа за измерване</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VPS</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Виртуален частен сървър</w:t>
            </w:r>
          </w:p>
        </w:tc>
      </w:tr>
      <w:tr w:rsidR="007906A8" w:rsidRPr="0077019D" w:rsidTr="005A0A7F">
        <w:trPr>
          <w:trHeight w:hRule="exact" w:val="504"/>
          <w:jc w:val="center"/>
        </w:trPr>
        <w:tc>
          <w:tcPr>
            <w:tcW w:w="1565" w:type="dxa"/>
            <w:tcBorders>
              <w:top w:val="single" w:sz="4" w:space="0" w:color="auto"/>
              <w:left w:val="single" w:sz="4" w:space="0" w:color="auto"/>
            </w:tcBorders>
            <w:shd w:val="clear" w:color="auto" w:fill="3CA8AA"/>
          </w:tcPr>
          <w:p w:rsidR="007906A8" w:rsidRPr="0077019D" w:rsidRDefault="007906A8" w:rsidP="007906A8">
            <w:pPr>
              <w:rPr>
                <w:rFonts w:ascii="Times New Roman" w:hAnsi="Times New Roman" w:cs="Times New Roman"/>
                <w:lang w:val="bg"/>
              </w:rPr>
            </w:pPr>
          </w:p>
        </w:tc>
        <w:tc>
          <w:tcPr>
            <w:tcW w:w="7469" w:type="dxa"/>
            <w:tcBorders>
              <w:top w:val="single" w:sz="4" w:space="0" w:color="auto"/>
              <w:left w:val="single" w:sz="4" w:space="0" w:color="auto"/>
              <w:right w:val="single" w:sz="4" w:space="0" w:color="auto"/>
            </w:tcBorders>
            <w:shd w:val="clear" w:color="auto" w:fill="3CA8AA"/>
          </w:tcPr>
          <w:p w:rsidR="007906A8" w:rsidRPr="0077019D" w:rsidRDefault="007906A8" w:rsidP="007906A8">
            <w:pPr>
              <w:rPr>
                <w:rFonts w:ascii="Times New Roman" w:hAnsi="Times New Roman" w:cs="Times New Roman"/>
                <w:lang w:val="bg"/>
              </w:rPr>
            </w:pPr>
          </w:p>
        </w:tc>
      </w:tr>
      <w:tr w:rsidR="007906A8" w:rsidRPr="0077019D" w:rsidTr="005A0A7F">
        <w:trPr>
          <w:trHeight w:hRule="exact" w:val="854"/>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ЗЕВИ</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Закон за енергията от възобновяеми източници (Закон за възобновяемите енергийни източници или Закон за ВЕИ)</w:t>
            </w:r>
          </w:p>
        </w:tc>
      </w:tr>
      <w:tr w:rsidR="007906A8" w:rsidRPr="0077019D" w:rsidTr="005A0A7F">
        <w:trPr>
          <w:trHeight w:hRule="exact" w:val="504"/>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ЗЕ</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Закон за енергетиката (Закон за енергетиката)</w:t>
            </w:r>
          </w:p>
        </w:tc>
      </w:tr>
      <w:tr w:rsidR="007906A8" w:rsidRPr="0077019D" w:rsidTr="005A0A7F">
        <w:trPr>
          <w:trHeight w:hRule="exact" w:val="514"/>
          <w:jc w:val="center"/>
        </w:trPr>
        <w:tc>
          <w:tcPr>
            <w:tcW w:w="1565" w:type="dxa"/>
            <w:tcBorders>
              <w:top w:val="single" w:sz="4" w:space="0" w:color="auto"/>
              <w:lef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ЗЮЛНЦ</w:t>
            </w:r>
          </w:p>
        </w:tc>
        <w:tc>
          <w:tcPr>
            <w:tcW w:w="7469" w:type="dxa"/>
            <w:tcBorders>
              <w:top w:val="single" w:sz="4" w:space="0" w:color="auto"/>
              <w:left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Закон за юридическите лица с нестопанска цел</w:t>
            </w:r>
          </w:p>
        </w:tc>
      </w:tr>
      <w:tr w:rsidR="007906A8" w:rsidRPr="0077019D" w:rsidTr="005A0A7F">
        <w:trPr>
          <w:trHeight w:hRule="exact" w:val="845"/>
          <w:jc w:val="center"/>
        </w:trPr>
        <w:tc>
          <w:tcPr>
            <w:tcW w:w="1565" w:type="dxa"/>
            <w:tcBorders>
              <w:top w:val="single" w:sz="4" w:space="0" w:color="auto"/>
              <w:lef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ПИКЕЕ</w:t>
            </w:r>
          </w:p>
        </w:tc>
        <w:tc>
          <w:tcPr>
            <w:tcW w:w="7469" w:type="dxa"/>
            <w:tcBorders>
              <w:top w:val="single" w:sz="4" w:space="0" w:color="auto"/>
              <w:left w:val="single" w:sz="4" w:space="0" w:color="auto"/>
              <w:right w:val="single" w:sz="4" w:space="0" w:color="auto"/>
            </w:tcBorders>
            <w:shd w:val="clear" w:color="auto" w:fill="D2EFEF"/>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Правила за измерване на електрическата енергия (Правила за измерване на електрическата енергия)</w:t>
            </w:r>
          </w:p>
        </w:tc>
      </w:tr>
      <w:tr w:rsidR="007906A8" w:rsidRPr="0077019D" w:rsidTr="005A0A7F">
        <w:trPr>
          <w:trHeight w:hRule="exact" w:val="840"/>
          <w:jc w:val="center"/>
        </w:trPr>
        <w:tc>
          <w:tcPr>
            <w:tcW w:w="1565" w:type="dxa"/>
            <w:tcBorders>
              <w:top w:val="single" w:sz="4" w:space="0" w:color="auto"/>
              <w:left w:val="single" w:sz="4" w:space="0" w:color="auto"/>
              <w:bottom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ПТЕЕ</w:t>
            </w:r>
          </w:p>
        </w:tc>
        <w:tc>
          <w:tcPr>
            <w:tcW w:w="7469" w:type="dxa"/>
            <w:tcBorders>
              <w:top w:val="single" w:sz="4" w:space="0" w:color="auto"/>
              <w:left w:val="single" w:sz="4" w:space="0" w:color="auto"/>
              <w:bottom w:val="single" w:sz="4" w:space="0" w:color="auto"/>
              <w:right w:val="single" w:sz="4" w:space="0" w:color="auto"/>
            </w:tcBorders>
            <w:shd w:val="clear" w:color="auto" w:fill="auto"/>
          </w:tcPr>
          <w:p w:rsidR="007906A8" w:rsidRPr="0077019D" w:rsidRDefault="007906A8" w:rsidP="007906A8">
            <w:pPr>
              <w:rPr>
                <w:rFonts w:ascii="Times New Roman" w:hAnsi="Times New Roman" w:cs="Times New Roman"/>
                <w:lang w:val="bg"/>
              </w:rPr>
            </w:pPr>
            <w:r w:rsidRPr="0077019D">
              <w:rPr>
                <w:rFonts w:ascii="Times New Roman" w:hAnsi="Times New Roman" w:cs="Times New Roman"/>
                <w:lang w:val="bg"/>
              </w:rPr>
              <w:t>Правила за търговия с електрическа енергия (Правила за пазара на електроенергия)</w:t>
            </w:r>
          </w:p>
        </w:tc>
      </w:tr>
    </w:tbl>
    <w:p w:rsidR="00D76E9D" w:rsidRDefault="00D76E9D" w:rsidP="005A0A7F">
      <w:pPr>
        <w:pStyle w:val="Heading1"/>
        <w:rPr>
          <w:rFonts w:ascii="Times New Roman" w:hAnsi="Times New Roman" w:cs="Times New Roman"/>
          <w:b/>
          <w:color w:val="009999"/>
          <w:lang w:val="bg"/>
        </w:rPr>
      </w:pPr>
      <w:bookmarkStart w:id="1" w:name="bookmark167"/>
      <w:bookmarkStart w:id="2" w:name="bookmark166"/>
    </w:p>
    <w:p w:rsidR="006971CE" w:rsidRDefault="006971CE" w:rsidP="006971CE">
      <w:pPr>
        <w:rPr>
          <w:lang w:val="bg"/>
        </w:rPr>
      </w:pPr>
    </w:p>
    <w:p w:rsidR="006971CE" w:rsidRPr="006971CE" w:rsidRDefault="006971CE" w:rsidP="006971CE">
      <w:pPr>
        <w:rPr>
          <w:lang w:val="bg"/>
        </w:rPr>
      </w:pPr>
    </w:p>
    <w:p w:rsidR="007906A8" w:rsidRPr="00082BFC" w:rsidRDefault="005A0A7F" w:rsidP="005A0A7F">
      <w:pPr>
        <w:pStyle w:val="Heading1"/>
        <w:rPr>
          <w:rFonts w:ascii="Times New Roman" w:hAnsi="Times New Roman" w:cs="Times New Roman"/>
          <w:b/>
          <w:color w:val="009999"/>
          <w:lang w:val="bg"/>
        </w:rPr>
      </w:pPr>
      <w:bookmarkStart w:id="3" w:name="_Toc203141251"/>
      <w:r w:rsidRPr="00082BFC">
        <w:rPr>
          <w:rFonts w:ascii="Times New Roman" w:hAnsi="Times New Roman" w:cs="Times New Roman"/>
          <w:b/>
          <w:color w:val="009999"/>
          <w:lang w:val="bg"/>
        </w:rPr>
        <w:lastRenderedPageBreak/>
        <w:t>1.ОБЩИ ПОЛОЖЕНИЯ</w:t>
      </w:r>
      <w:bookmarkEnd w:id="1"/>
      <w:bookmarkEnd w:id="2"/>
      <w:bookmarkEnd w:id="3"/>
    </w:p>
    <w:p w:rsidR="005A0A7F" w:rsidRPr="005A0A7F" w:rsidRDefault="005A0A7F" w:rsidP="005A0A7F">
      <w:pPr>
        <w:rPr>
          <w:lang w:val="bg"/>
        </w:rPr>
      </w:pPr>
    </w:p>
    <w:p w:rsidR="00082BFC" w:rsidRPr="00082BFC" w:rsidRDefault="007906A8" w:rsidP="00B01311">
      <w:pPr>
        <w:pStyle w:val="Heading2"/>
        <w:numPr>
          <w:ilvl w:val="1"/>
          <w:numId w:val="51"/>
        </w:numPr>
        <w:rPr>
          <w:rFonts w:ascii="Times New Roman" w:hAnsi="Times New Roman" w:cs="Times New Roman"/>
          <w:color w:val="009999"/>
          <w:sz w:val="30"/>
          <w:szCs w:val="30"/>
          <w:lang w:val="bg"/>
        </w:rPr>
      </w:pPr>
      <w:bookmarkStart w:id="4" w:name="bookmark170"/>
      <w:bookmarkStart w:id="5" w:name="bookmark169"/>
      <w:bookmarkStart w:id="6" w:name="_Toc203141252"/>
      <w:r w:rsidRPr="00082BFC">
        <w:rPr>
          <w:rFonts w:ascii="Times New Roman" w:hAnsi="Times New Roman" w:cs="Times New Roman"/>
          <w:color w:val="009999"/>
          <w:sz w:val="30"/>
          <w:szCs w:val="30"/>
          <w:lang w:val="bg"/>
        </w:rPr>
        <w:t>Цел на настоящия документ</w:t>
      </w:r>
      <w:bookmarkEnd w:id="4"/>
      <w:bookmarkEnd w:id="5"/>
      <w:bookmarkEnd w:id="6"/>
    </w:p>
    <w:p w:rsidR="00082BFC" w:rsidRPr="00082BFC" w:rsidRDefault="00082BFC" w:rsidP="00082BFC">
      <w:pPr>
        <w:rPr>
          <w:lang w:val="bg"/>
        </w:rPr>
      </w:pPr>
    </w:p>
    <w:p w:rsidR="00082BFC" w:rsidRPr="005A0A7F" w:rsidRDefault="007906A8" w:rsidP="005A0A7F">
      <w:pPr>
        <w:spacing w:line="276" w:lineRule="auto"/>
        <w:jc w:val="both"/>
        <w:rPr>
          <w:rFonts w:ascii="Times New Roman" w:hAnsi="Times New Roman" w:cs="Times New Roman"/>
          <w:sz w:val="24"/>
          <w:szCs w:val="24"/>
          <w:lang w:val="bg"/>
        </w:rPr>
      </w:pPr>
      <w:r w:rsidRPr="005A0A7F">
        <w:rPr>
          <w:rFonts w:ascii="Times New Roman" w:hAnsi="Times New Roman" w:cs="Times New Roman"/>
          <w:sz w:val="24"/>
          <w:szCs w:val="24"/>
          <w:lang w:val="bg"/>
        </w:rPr>
        <w:t>Документът има за цел да насърчи развитието на енергийните общности чрез очертаване на стратегии, ползи и рамки в подкрепа на тяхното създаване и растеж. Той предоставя изчерпателни препоръки за регулаторни промени, необходими за улесняване на развитието на енергийните общности, картографиране на съществуващите български разпоредби, установяване на пропуски и сравнителен анализ на най-добрите практики от други държави. Освен това документът има за цел да образова заинтересованите страни относно потенциалните икономически, екологични и социални ползи от енергийните общности, включително подробни раздели относно техническите спецификации, разработването на пилотни проекти и инициативите за изграждане на капацитет. Чрез насърчаване на сътрудничеството между различни заинтересовани страни, включително държавни органи, субекти от частния сектор и местни общности, документът има за цел да постигне общата цел за устойчиво енергийно развитие, като предлага подходящи бизнес модели и практически семинари за обучение.</w:t>
      </w:r>
    </w:p>
    <w:p w:rsidR="007906A8" w:rsidRPr="00082BFC" w:rsidRDefault="006971D5" w:rsidP="00B01311">
      <w:pPr>
        <w:pStyle w:val="Heading2"/>
        <w:numPr>
          <w:ilvl w:val="1"/>
          <w:numId w:val="51"/>
        </w:numPr>
        <w:rPr>
          <w:rFonts w:ascii="Times New Roman" w:hAnsi="Times New Roman" w:cs="Times New Roman"/>
          <w:color w:val="009999"/>
          <w:sz w:val="30"/>
          <w:szCs w:val="30"/>
        </w:rPr>
      </w:pPr>
      <w:bookmarkStart w:id="7" w:name="_Toc203141253"/>
      <w:r w:rsidRPr="00082BFC">
        <w:rPr>
          <w:rFonts w:ascii="Times New Roman" w:hAnsi="Times New Roman" w:cs="Times New Roman"/>
          <w:color w:val="009999"/>
          <w:sz w:val="30"/>
          <w:szCs w:val="30"/>
        </w:rPr>
        <w:t>Публика</w:t>
      </w:r>
      <w:bookmarkEnd w:id="7"/>
    </w:p>
    <w:p w:rsidR="007906A8" w:rsidRPr="005A0A7F" w:rsidRDefault="007906A8" w:rsidP="005A0A7F">
      <w:pPr>
        <w:spacing w:line="276" w:lineRule="auto"/>
        <w:jc w:val="both"/>
        <w:rPr>
          <w:rFonts w:ascii="Times New Roman" w:hAnsi="Times New Roman" w:cs="Times New Roman"/>
          <w:sz w:val="24"/>
          <w:szCs w:val="24"/>
          <w:lang w:val="bg"/>
        </w:rPr>
      </w:pPr>
      <w:r w:rsidRPr="005A0A7F">
        <w:rPr>
          <w:rFonts w:ascii="Times New Roman" w:hAnsi="Times New Roman" w:cs="Times New Roman"/>
          <w:sz w:val="24"/>
          <w:szCs w:val="24"/>
          <w:lang w:val="bg"/>
        </w:rPr>
        <w:t>Основната аудитория на документа включва регулаторните органи, отговарящи за енергийното регулиране и изготвянето на политики в България, като Министерството на енергетиката, Комисията за енергийно и водно регулиране (КЕВР) и Агенцията за устойчиво енергийно развитие (АУЕР). Тя е насочена и към заинтересованите страни в енергийния сектор, участващи в производството, разпределението и управлението на енергия, включително операторите на разпределителни системи (ОРС), търговците на енергия и доставчиците на агрегирани услуги. Местните общности, жителите и организациите, заинтересовани да участват или да се възползват от енергийните общности, като общини, кооперации и организации с нестопанска цел, също са ключови аудитории. Освен това документът има за цел да информира инвеститорите и финансовите институции, които се интересуват от финансиране или инвестиране в проекти на енергийната общност, включително банки, инвестиционни фондове и други финансови субекти. Екологичните организации, фокусирани върху насърчаването на устойчиви и екологосъобразни енергийни решения, като НПО, групи за застъпничество и изследователски институции, също са част от целевата аудитория. Документът е предназначен да бъде представен на регулаторните органи в България, за да се подпомогне развитието на енергийните общности и да се засили сътрудничеството между съответните заинтересовани страни.</w:t>
      </w:r>
    </w:p>
    <w:p w:rsidR="007906A8" w:rsidRPr="007906A8" w:rsidRDefault="005A0A7F" w:rsidP="005A0A7F">
      <w:pPr>
        <w:tabs>
          <w:tab w:val="left" w:pos="6825"/>
        </w:tabs>
        <w:rPr>
          <w:lang w:val="bg"/>
        </w:rPr>
      </w:pPr>
      <w:r>
        <w:rPr>
          <w:lang w:val="bg"/>
        </w:rPr>
        <w:tab/>
      </w:r>
    </w:p>
    <w:p w:rsidR="007906A8" w:rsidRPr="007906A8" w:rsidRDefault="00F65D1E" w:rsidP="00F65D1E">
      <w:pPr>
        <w:tabs>
          <w:tab w:val="left" w:pos="2595"/>
        </w:tabs>
        <w:rPr>
          <w:lang w:val="bg"/>
        </w:rPr>
      </w:pPr>
      <w:r>
        <w:rPr>
          <w:lang w:val="bg"/>
        </w:rPr>
        <w:tab/>
      </w:r>
    </w:p>
    <w:p w:rsidR="007906A8" w:rsidRPr="007906A8" w:rsidRDefault="007906A8" w:rsidP="007906A8">
      <w:pPr>
        <w:rPr>
          <w:lang w:val="bg"/>
        </w:rPr>
      </w:pPr>
    </w:p>
    <w:p w:rsidR="007906A8" w:rsidRPr="007906A8" w:rsidRDefault="007906A8" w:rsidP="007906A8">
      <w:pPr>
        <w:rPr>
          <w:lang w:val="bg"/>
        </w:rPr>
      </w:pPr>
    </w:p>
    <w:p w:rsidR="007906A8" w:rsidRPr="007906A8" w:rsidRDefault="007906A8" w:rsidP="007906A8">
      <w:pPr>
        <w:rPr>
          <w:lang w:val="bg"/>
        </w:rPr>
      </w:pPr>
    </w:p>
    <w:p w:rsidR="007906A8" w:rsidRPr="005A0A7F" w:rsidRDefault="007906A8" w:rsidP="005A0A7F">
      <w:pPr>
        <w:jc w:val="both"/>
        <w:rPr>
          <w:rFonts w:ascii="Times New Roman" w:hAnsi="Times New Roman" w:cs="Times New Roman"/>
          <w:i/>
          <w:iCs/>
          <w:color w:val="009999"/>
          <w:sz w:val="32"/>
          <w:szCs w:val="32"/>
          <w:lang w:val="bg"/>
        </w:rPr>
      </w:pPr>
      <w:bookmarkStart w:id="8" w:name="bookmark176"/>
      <w:bookmarkStart w:id="9" w:name="bookmark175"/>
      <w:r w:rsidRPr="005A0A7F">
        <w:rPr>
          <w:rFonts w:ascii="Times New Roman" w:hAnsi="Times New Roman" w:cs="Times New Roman"/>
          <w:bCs/>
          <w:i/>
          <w:iCs/>
          <w:color w:val="009999"/>
          <w:sz w:val="32"/>
          <w:szCs w:val="32"/>
          <w:lang w:val="bg-BG"/>
        </w:rPr>
        <w:lastRenderedPageBreak/>
        <w:t>Развитието</w:t>
      </w:r>
      <w:r w:rsidRPr="005A0A7F">
        <w:rPr>
          <w:rFonts w:ascii="Times New Roman" w:hAnsi="Times New Roman" w:cs="Times New Roman"/>
          <w:bCs/>
          <w:i/>
          <w:iCs/>
          <w:color w:val="009999"/>
          <w:sz w:val="32"/>
          <w:szCs w:val="32"/>
          <w:lang w:val="bg"/>
        </w:rPr>
        <w:t xml:space="preserve"> </w:t>
      </w:r>
      <w:r w:rsidRPr="005A0A7F">
        <w:rPr>
          <w:rFonts w:ascii="Times New Roman" w:hAnsi="Times New Roman" w:cs="Times New Roman"/>
          <w:i/>
          <w:iCs/>
          <w:color w:val="009999"/>
          <w:sz w:val="32"/>
          <w:szCs w:val="32"/>
          <w:lang w:val="bg"/>
        </w:rPr>
        <w:t>на енергийните общности в България изисква максимална гъвкавост, за да се даде възможност за тяхното възникване в специфичния контекст на странат</w:t>
      </w:r>
      <w:r w:rsidR="005A0A7F" w:rsidRPr="005A0A7F">
        <w:rPr>
          <w:rFonts w:ascii="Times New Roman" w:hAnsi="Times New Roman" w:cs="Times New Roman"/>
          <w:i/>
          <w:iCs/>
          <w:color w:val="009999"/>
          <w:sz w:val="32"/>
          <w:szCs w:val="32"/>
          <w:lang w:val="bg"/>
        </w:rPr>
        <w:t>а</w:t>
      </w:r>
    </w:p>
    <w:p w:rsidR="007906A8" w:rsidRPr="007906A8" w:rsidRDefault="007906A8" w:rsidP="007906A8">
      <w:pPr>
        <w:rPr>
          <w:i/>
          <w:iCs/>
          <w:lang w:val="bg"/>
        </w:rPr>
      </w:pPr>
    </w:p>
    <w:p w:rsidR="007906A8" w:rsidRDefault="00914903" w:rsidP="00914903">
      <w:pPr>
        <w:pStyle w:val="Heading1"/>
        <w:spacing w:line="276" w:lineRule="auto"/>
        <w:jc w:val="both"/>
        <w:rPr>
          <w:rFonts w:ascii="Times New Roman" w:hAnsi="Times New Roman" w:cs="Times New Roman"/>
          <w:color w:val="24B1C0"/>
          <w:lang w:val="bg"/>
        </w:rPr>
      </w:pPr>
      <w:bookmarkStart w:id="10" w:name="_Toc203141254"/>
      <w:r w:rsidRPr="00914903">
        <w:rPr>
          <w:rFonts w:ascii="Times New Roman" w:hAnsi="Times New Roman" w:cs="Times New Roman"/>
          <w:color w:val="24B1C0"/>
          <w:lang w:val="bg"/>
        </w:rPr>
        <w:t xml:space="preserve">2. </w:t>
      </w:r>
      <w:r w:rsidR="006971D5" w:rsidRPr="00914903">
        <w:rPr>
          <w:rFonts w:ascii="Times New Roman" w:hAnsi="Times New Roman" w:cs="Times New Roman"/>
          <w:color w:val="24B1C0"/>
          <w:lang w:val="bg"/>
        </w:rPr>
        <w:t>Въведение</w:t>
      </w:r>
      <w:bookmarkEnd w:id="8"/>
      <w:bookmarkEnd w:id="9"/>
      <w:bookmarkEnd w:id="10"/>
    </w:p>
    <w:p w:rsidR="00914903" w:rsidRPr="00914903" w:rsidRDefault="00914903" w:rsidP="00914903">
      <w:pPr>
        <w:rPr>
          <w:lang w:val="bg"/>
        </w:rPr>
      </w:pPr>
    </w:p>
    <w:p w:rsidR="00082BFC" w:rsidRPr="00914903" w:rsidRDefault="00914903" w:rsidP="00914903">
      <w:pPr>
        <w:pStyle w:val="Heading2"/>
        <w:spacing w:line="276" w:lineRule="auto"/>
        <w:jc w:val="both"/>
        <w:rPr>
          <w:rFonts w:ascii="Times New Roman" w:hAnsi="Times New Roman" w:cs="Times New Roman"/>
          <w:color w:val="24B1C0"/>
          <w:sz w:val="30"/>
          <w:szCs w:val="30"/>
        </w:rPr>
      </w:pPr>
      <w:bookmarkStart w:id="11" w:name="bookmark179"/>
      <w:bookmarkStart w:id="12" w:name="bookmark178"/>
      <w:bookmarkStart w:id="13" w:name="_Toc203141255"/>
      <w:r w:rsidRPr="00914903">
        <w:rPr>
          <w:rFonts w:ascii="Times New Roman" w:hAnsi="Times New Roman" w:cs="Times New Roman"/>
          <w:color w:val="24B1C0"/>
          <w:sz w:val="30"/>
          <w:szCs w:val="30"/>
          <w:lang w:val="bg-BG"/>
        </w:rPr>
        <w:t xml:space="preserve">2.1 </w:t>
      </w:r>
      <w:r w:rsidR="007906A8" w:rsidRPr="00914903">
        <w:rPr>
          <w:rFonts w:ascii="Times New Roman" w:hAnsi="Times New Roman" w:cs="Times New Roman"/>
          <w:color w:val="24B1C0"/>
          <w:sz w:val="30"/>
          <w:szCs w:val="30"/>
        </w:rPr>
        <w:t>Контекст</w:t>
      </w:r>
      <w:bookmarkEnd w:id="11"/>
      <w:bookmarkEnd w:id="12"/>
      <w:bookmarkEnd w:id="13"/>
    </w:p>
    <w:p w:rsidR="00082BFC" w:rsidRPr="00082BFC" w:rsidRDefault="00082BFC" w:rsidP="00082BFC">
      <w:pPr>
        <w:rPr>
          <w:lang w:val="bg"/>
        </w:rPr>
      </w:pP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Частично либерализираният пазар, съчетан с липсата на ясни законови разпоредби за енергийните общности и виртуалното нетно отчитане (ВНМ), създава враждебна среда за развитието на енергийните общности в България. Настоящите политически и пазарни условия благоприятстват големите промишлени потребители на собствена електроенергия и възобновяемите енергийни източници за комунални цели, докато колективните енергийни проекти, ръководени от гражданите, трудно се появяват.</w:t>
      </w: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Концепцията за енергийните общности в България все още се очертава, като първоначалните примери се наблюдават главно в промишлени клъстери, земеделски кооперации и някои инициативи, ръководени от общините. Тези ранни проекти разчитат в голяма степен на търговците на енергия и доставчиците на агрегирани услуги, за да се справят с участието си на пазара, балансирането и административните процеси, тъй като няма ясна регулаторна рамка, съобразена с енергийните общности.</w:t>
      </w:r>
      <w:hyperlink w:anchor="bookmark0" w:tooltip="Current Document">
        <w:r w:rsidRPr="0042329D">
          <w:rPr>
            <w:rStyle w:val="Hyperlink"/>
            <w:rFonts w:ascii="Times New Roman" w:hAnsi="Times New Roman" w:cs="Times New Roman"/>
            <w:sz w:val="24"/>
            <w:szCs w:val="24"/>
            <w:vertAlign w:val="superscript"/>
            <w:lang w:val="bg"/>
          </w:rPr>
          <w:footnoteReference w:id="1"/>
        </w:r>
      </w:hyperlink>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Частично либерализираният пазар на електроенергия в България създава значителни предизвикателства за произвеждащите потребители и енергийните общности. Въпреки че промишлените потребители трябва да купуват електроенергия на пазарни цени, домакинствата все още се ползват от регулирани тарифи, което намалява финансовите стимули за собствено</w:t>
      </w:r>
      <w:r w:rsidRPr="006971D5">
        <w:rPr>
          <w:rFonts w:ascii="Times New Roman" w:hAnsi="Times New Roman" w:cs="Times New Roman"/>
          <w:sz w:val="24"/>
          <w:szCs w:val="24"/>
          <w:lang w:val="bg"/>
        </w:rPr>
        <w:softHyphen/>
      </w:r>
      <w:r w:rsidR="006971D5">
        <w:rPr>
          <w:rFonts w:ascii="Times New Roman" w:hAnsi="Times New Roman" w:cs="Times New Roman"/>
          <w:sz w:val="24"/>
          <w:szCs w:val="24"/>
          <w:lang w:val="bg"/>
        </w:rPr>
        <w:t xml:space="preserve"> </w:t>
      </w:r>
      <w:r w:rsidRPr="006971D5">
        <w:rPr>
          <w:rFonts w:ascii="Times New Roman" w:hAnsi="Times New Roman" w:cs="Times New Roman"/>
          <w:sz w:val="24"/>
          <w:szCs w:val="24"/>
          <w:lang w:val="bg"/>
        </w:rPr>
        <w:t>производство и споделяне на енергия. Този изкривен ценови сигнал, съчетан с регулаторни пропуски за VNM и колективното собствено потребление, ограничава растежа на енергийните общности.</w:t>
      </w: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Забавянето на пълната либерализация на пазара се дължи на политическите опасения относно енергийната бедност, защитата на производството на електроенергия от въглища и институционалната съпротива срещу промяната. В резултат на това енергийните общности и произвеждащите потребители са изправени пред несигурни приходи, ограничен достъп до пазара и голяма административна тежест, което ги принуждава да зависят от посредници като търговци и доставчици на агрегирани услуги, вместо да действат като независими участници на пазара.</w:t>
      </w:r>
    </w:p>
    <w:p w:rsidR="007906A8"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 xml:space="preserve">Развитието на енергийните общности в България изисква максимална гъвкавост, за да се даде възможност за появата им в специфичния контекст на страната — слабо населена </w:t>
      </w:r>
      <w:r w:rsidRPr="006971D5">
        <w:rPr>
          <w:rFonts w:ascii="Times New Roman" w:hAnsi="Times New Roman" w:cs="Times New Roman"/>
          <w:sz w:val="24"/>
          <w:szCs w:val="24"/>
          <w:lang w:val="bg"/>
        </w:rPr>
        <w:lastRenderedPageBreak/>
        <w:t>държава с ниска предприемаческа активност, ниска финансова грамотност и ограничена инвестиционна култура сред населението, разпръснати ентусиасти, нарушени традиции на сътрудничество и обща липса на познаване на колективните енергийни инициативи. За да успеят енергийните общности, трябва да бъдат въведени прости,</w:t>
      </w:r>
      <w:r w:rsidR="006971D5" w:rsidRPr="006971D5">
        <w:rPr>
          <w:rFonts w:ascii="Times New Roman" w:hAnsi="Times New Roman" w:cs="Times New Roman"/>
          <w:sz w:val="24"/>
          <w:szCs w:val="24"/>
          <w:lang w:val="bg"/>
        </w:rPr>
        <w:t xml:space="preserve"> </w:t>
      </w:r>
      <w:r w:rsidRPr="006971D5">
        <w:rPr>
          <w:rFonts w:ascii="Times New Roman" w:hAnsi="Times New Roman" w:cs="Times New Roman"/>
          <w:sz w:val="24"/>
          <w:szCs w:val="24"/>
          <w:lang w:val="bg"/>
        </w:rPr>
        <w:softHyphen/>
        <w:t>лесни за ползване механизми, които да позволяват на гражданите, малките предприятия и общините лесно да формират и регистрират общности, да споделят енергия в множество обекти и да отделят физическото местоположение на производството от точките на потребление. Като се има предвид фрагментираният и неформален характер на настоящия интерес към общностната енергетика, от решаващо значение е да се предложат рационализирани административни процедури, ясно правно признаване и достъпни инструменти, които позволяват на ентусиазирани, но неопитни групи бързо да създават и експлоатират енергийни общности без сложни регулаторни или финансови пречки.</w:t>
      </w:r>
    </w:p>
    <w:p w:rsidR="00914903" w:rsidRPr="006971D5" w:rsidRDefault="00914903" w:rsidP="006971D5">
      <w:pPr>
        <w:spacing w:line="276" w:lineRule="auto"/>
        <w:jc w:val="both"/>
        <w:rPr>
          <w:rFonts w:ascii="Times New Roman" w:hAnsi="Times New Roman" w:cs="Times New Roman"/>
          <w:sz w:val="24"/>
          <w:szCs w:val="24"/>
          <w:lang w:val="bg"/>
        </w:rPr>
      </w:pPr>
    </w:p>
    <w:p w:rsidR="007906A8" w:rsidRDefault="007906A8" w:rsidP="00B01311">
      <w:pPr>
        <w:pStyle w:val="Heading2"/>
        <w:numPr>
          <w:ilvl w:val="1"/>
          <w:numId w:val="184"/>
        </w:numPr>
        <w:jc w:val="both"/>
        <w:rPr>
          <w:rFonts w:ascii="Times New Roman" w:hAnsi="Times New Roman" w:cs="Times New Roman"/>
          <w:color w:val="009999"/>
          <w:sz w:val="30"/>
          <w:szCs w:val="30"/>
          <w:lang w:val="bg"/>
        </w:rPr>
      </w:pPr>
      <w:bookmarkStart w:id="15" w:name="bookmark182"/>
      <w:bookmarkStart w:id="16" w:name="bookmark181"/>
      <w:bookmarkStart w:id="17" w:name="_Toc203141256"/>
      <w:r w:rsidRPr="00082BFC">
        <w:rPr>
          <w:rFonts w:ascii="Times New Roman" w:hAnsi="Times New Roman" w:cs="Times New Roman"/>
          <w:color w:val="009999"/>
          <w:sz w:val="30"/>
          <w:szCs w:val="30"/>
          <w:lang w:val="bg"/>
        </w:rPr>
        <w:t>Определения на енергийните общности в Европейския съюз</w:t>
      </w:r>
      <w:bookmarkEnd w:id="15"/>
      <w:bookmarkEnd w:id="16"/>
      <w:bookmarkEnd w:id="17"/>
    </w:p>
    <w:p w:rsidR="00082BFC" w:rsidRPr="00082BFC" w:rsidRDefault="00082BFC" w:rsidP="00082BFC">
      <w:pPr>
        <w:pStyle w:val="ListParagraph"/>
        <w:rPr>
          <w:lang w:val="bg"/>
        </w:rPr>
      </w:pP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Терминът местна енергийна общност (LEC) е описан в пътната карта от хранилището на енергийните общности</w:t>
      </w:r>
      <w:hyperlink w:anchor="bookmark1" w:tooltip="Current Document">
        <w:r w:rsidRPr="00BA7482">
          <w:rPr>
            <w:rStyle w:val="Hyperlink"/>
            <w:rFonts w:ascii="Times New Roman" w:hAnsi="Times New Roman" w:cs="Times New Roman"/>
            <w:sz w:val="24"/>
            <w:szCs w:val="24"/>
            <w:vertAlign w:val="superscript"/>
            <w:lang w:val="bg"/>
          </w:rPr>
          <w:footnoteReference w:id="2"/>
        </w:r>
      </w:hyperlink>
      <w:r w:rsidRPr="006971D5">
        <w:rPr>
          <w:rFonts w:ascii="Times New Roman" w:hAnsi="Times New Roman" w:cs="Times New Roman"/>
          <w:sz w:val="24"/>
          <w:szCs w:val="24"/>
          <w:lang w:val="bg"/>
        </w:rPr>
        <w:t xml:space="preserve"> като иновативен правен субект, който обикновено работи на местно равнище, като се съсредоточава върху производството, потреблението, съхранението и споделянето на енергия от възобновяеми източници. Тя се характеризира с открито и доброволно участие и се контролира ефективно от акционери или членове, които могат да включват физически лица, малки предприятия или местни власти като общини. Европейският съюз (ЕС) е силен поддръжник на LEC, като определя два ключови типа общности в своите директиви:</w:t>
      </w:r>
    </w:p>
    <w:p w:rsidR="006971D5" w:rsidRDefault="007906A8" w:rsidP="00B01311">
      <w:pPr>
        <w:pStyle w:val="ListParagraph"/>
        <w:numPr>
          <w:ilvl w:val="0"/>
          <w:numId w:val="52"/>
        </w:numPr>
        <w:spacing w:line="276" w:lineRule="auto"/>
        <w:jc w:val="both"/>
        <w:rPr>
          <w:rFonts w:ascii="Times New Roman" w:hAnsi="Times New Roman" w:cs="Times New Roman"/>
          <w:sz w:val="24"/>
          <w:szCs w:val="24"/>
          <w:lang w:val="bg"/>
        </w:rPr>
      </w:pPr>
      <w:r w:rsidRPr="006971D5">
        <w:rPr>
          <w:rFonts w:ascii="Times New Roman" w:hAnsi="Times New Roman" w:cs="Times New Roman"/>
          <w:b/>
          <w:bCs/>
          <w:sz w:val="24"/>
          <w:szCs w:val="24"/>
          <w:lang w:val="bg"/>
        </w:rPr>
        <w:t>Общност за възобновяема енергия (REC):</w:t>
      </w:r>
      <w:r w:rsidRPr="006971D5">
        <w:rPr>
          <w:rFonts w:ascii="Times New Roman" w:hAnsi="Times New Roman" w:cs="Times New Roman"/>
          <w:sz w:val="24"/>
          <w:szCs w:val="24"/>
          <w:lang w:val="bg"/>
        </w:rPr>
        <w:t xml:space="preserve"> Както е посочено в преработения текст на Директивата за енергията от възобновяеми източници (REDII, 2018/2001),</w:t>
      </w:r>
      <w:hyperlink w:anchor="bookmark2" w:tooltip="Current Document">
        <w:r w:rsidRPr="00BA7482">
          <w:rPr>
            <w:rStyle w:val="Hyperlink"/>
            <w:rFonts w:ascii="Times New Roman" w:hAnsi="Times New Roman" w:cs="Times New Roman"/>
            <w:sz w:val="24"/>
            <w:szCs w:val="24"/>
            <w:vertAlign w:val="superscript"/>
            <w:lang w:val="bg"/>
          </w:rPr>
          <w:footnoteReference w:id="3"/>
        </w:r>
      </w:hyperlink>
      <w:r w:rsidRPr="006971D5">
        <w:rPr>
          <w:rFonts w:ascii="Times New Roman" w:hAnsi="Times New Roman" w:cs="Times New Roman"/>
          <w:sz w:val="24"/>
          <w:szCs w:val="24"/>
          <w:lang w:val="bg"/>
        </w:rPr>
        <w:t xml:space="preserve"> РЕЦ се отнасят предимно до производството на енергия от възобновяеми източници. Акционерите или членовете на РЕЦ обикновено са разположени в близост до проектите за енергия от възобновяеми източници, които притежават и разработват.</w:t>
      </w:r>
    </w:p>
    <w:p w:rsidR="007906A8" w:rsidRPr="006971D5" w:rsidRDefault="007906A8" w:rsidP="00B01311">
      <w:pPr>
        <w:pStyle w:val="ListParagraph"/>
        <w:numPr>
          <w:ilvl w:val="0"/>
          <w:numId w:val="52"/>
        </w:numPr>
        <w:spacing w:line="276" w:lineRule="auto"/>
        <w:jc w:val="both"/>
        <w:rPr>
          <w:rFonts w:ascii="Times New Roman" w:hAnsi="Times New Roman" w:cs="Times New Roman"/>
          <w:sz w:val="24"/>
          <w:szCs w:val="24"/>
          <w:lang w:val="bg"/>
        </w:rPr>
      </w:pPr>
      <w:r w:rsidRPr="006971D5">
        <w:rPr>
          <w:rFonts w:ascii="Times New Roman" w:hAnsi="Times New Roman" w:cs="Times New Roman"/>
          <w:b/>
          <w:bCs/>
          <w:sz w:val="24"/>
          <w:szCs w:val="24"/>
          <w:lang w:val="bg"/>
        </w:rPr>
        <w:t>Гражданска енергийна общност (CEC):</w:t>
      </w:r>
      <w:r w:rsidRPr="006971D5">
        <w:rPr>
          <w:rFonts w:ascii="Times New Roman" w:hAnsi="Times New Roman" w:cs="Times New Roman"/>
          <w:sz w:val="24"/>
          <w:szCs w:val="24"/>
          <w:lang w:val="bg"/>
        </w:rPr>
        <w:t xml:space="preserve"> Съгласно член 16 от Директивата за вътрешния пазар на електроенергия (IMED, 2019/944)</w:t>
      </w:r>
      <w:hyperlink w:anchor="bookmark3" w:tooltip="Current Document">
        <w:r w:rsidRPr="00BA7482">
          <w:rPr>
            <w:rStyle w:val="Hyperlink"/>
            <w:rFonts w:ascii="Times New Roman" w:hAnsi="Times New Roman" w:cs="Times New Roman"/>
            <w:sz w:val="24"/>
            <w:szCs w:val="24"/>
            <w:vertAlign w:val="superscript"/>
            <w:lang w:val="bg"/>
          </w:rPr>
          <w:footnoteReference w:id="4"/>
        </w:r>
      </w:hyperlink>
      <w:r w:rsidRPr="006971D5">
        <w:rPr>
          <w:rFonts w:ascii="Times New Roman" w:hAnsi="Times New Roman" w:cs="Times New Roman"/>
          <w:sz w:val="24"/>
          <w:szCs w:val="24"/>
          <w:lang w:val="bg"/>
        </w:rPr>
        <w:t xml:space="preserve"> ЦИК имат по-широк обхват от ЦИК, тъй като те могат също така да извършват агрегиране или да предоставят енергийни услуги на своите членове. ЦИК могат да улесняват активното участие на потребителите, като позволяват на членовете да произвеждат, потребяват, споделят или продават енергия, да предлагат услуги за гъвкавост чрез</w:t>
      </w:r>
      <w:r w:rsidR="006971D5">
        <w:rPr>
          <w:rFonts w:ascii="Times New Roman" w:hAnsi="Times New Roman" w:cs="Times New Roman"/>
          <w:sz w:val="24"/>
          <w:szCs w:val="24"/>
          <w:lang w:val="bg"/>
        </w:rPr>
        <w:t xml:space="preserve"> </w:t>
      </w:r>
      <w:r w:rsidRPr="006971D5">
        <w:rPr>
          <w:rFonts w:ascii="Times New Roman" w:hAnsi="Times New Roman" w:cs="Times New Roman"/>
          <w:sz w:val="24"/>
          <w:szCs w:val="24"/>
          <w:lang w:val="bg"/>
        </w:rPr>
        <w:softHyphen/>
        <w:t xml:space="preserve">реакция на потреблението и акумулиране на енергия и, ако това е разрешено от държавите членки, да експлоатират изискваната електроенергийна мрежа съгласно приложимите изисквания за операторите на разпределителни системи. ЦИК могат да включват различни видове енергийни източници в допълнение към възобновяемите </w:t>
      </w:r>
      <w:r w:rsidRPr="006971D5">
        <w:rPr>
          <w:rFonts w:ascii="Times New Roman" w:hAnsi="Times New Roman" w:cs="Times New Roman"/>
          <w:sz w:val="24"/>
          <w:szCs w:val="24"/>
          <w:lang w:val="bg"/>
        </w:rPr>
        <w:lastRenderedPageBreak/>
        <w:t>енергийни източници, като например инсталации за природен газ или дори дизелови генератори, но се съсредоточават само върху електрификацията.</w:t>
      </w: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Терминът Local Energy Community LEC (местни енергийни общности) често се използва като общ термин за REC и CEC. Основните цели на LEC са да се постигне напредък в развитието на технологиите за разпределена енергия и да се засили участието на потребителите на енергийните пазари. Те имат за цел да приоритизират местното производство на електроенергия от възобновяеми енергийни източници, като подчертават гражданската собственост и участието в енергийната система.</w:t>
      </w:r>
    </w:p>
    <w:p w:rsidR="007906A8" w:rsidRPr="006971D5" w:rsidRDefault="007906A8" w:rsidP="006971D5">
      <w:pPr>
        <w:spacing w:line="276" w:lineRule="auto"/>
        <w:jc w:val="both"/>
        <w:rPr>
          <w:rFonts w:ascii="Times New Roman" w:hAnsi="Times New Roman" w:cs="Times New Roman"/>
          <w:sz w:val="24"/>
          <w:szCs w:val="24"/>
          <w:lang w:val="bg"/>
        </w:rPr>
      </w:pPr>
      <w:r w:rsidRPr="006971D5">
        <w:rPr>
          <w:rFonts w:ascii="Times New Roman" w:hAnsi="Times New Roman" w:cs="Times New Roman"/>
          <w:sz w:val="24"/>
          <w:szCs w:val="24"/>
          <w:lang w:val="bg"/>
        </w:rPr>
        <w:t>Основните характеристики, които могат да се различават при различните модели LEC, включват:</w:t>
      </w:r>
    </w:p>
    <w:p w:rsidR="006971D5" w:rsidRDefault="007906A8" w:rsidP="00B01311">
      <w:pPr>
        <w:pStyle w:val="ListParagraph"/>
        <w:numPr>
          <w:ilvl w:val="0"/>
          <w:numId w:val="53"/>
        </w:numPr>
        <w:spacing w:line="276" w:lineRule="auto"/>
        <w:jc w:val="both"/>
        <w:rPr>
          <w:rFonts w:ascii="Times New Roman" w:hAnsi="Times New Roman" w:cs="Times New Roman"/>
          <w:sz w:val="24"/>
          <w:szCs w:val="24"/>
          <w:lang w:val="bg"/>
        </w:rPr>
      </w:pPr>
      <w:r w:rsidRPr="006971D5">
        <w:rPr>
          <w:rFonts w:ascii="Times New Roman" w:hAnsi="Times New Roman" w:cs="Times New Roman"/>
          <w:b/>
          <w:bCs/>
          <w:sz w:val="24"/>
          <w:szCs w:val="24"/>
          <w:lang w:val="bg"/>
        </w:rPr>
        <w:t>Организационна форма:</w:t>
      </w:r>
      <w:r w:rsidRPr="006971D5">
        <w:rPr>
          <w:rFonts w:ascii="Times New Roman" w:hAnsi="Times New Roman" w:cs="Times New Roman"/>
          <w:sz w:val="24"/>
          <w:szCs w:val="24"/>
          <w:lang w:val="bg"/>
        </w:rPr>
        <w:t xml:space="preserve"> LEC могат да бъдат организирани като сдружения, кооперации, партньорства, организации с нестопанска цел или други юридически лица.</w:t>
      </w:r>
    </w:p>
    <w:p w:rsidR="006971D5" w:rsidRDefault="007906A8" w:rsidP="00B01311">
      <w:pPr>
        <w:pStyle w:val="ListParagraph"/>
        <w:numPr>
          <w:ilvl w:val="0"/>
          <w:numId w:val="53"/>
        </w:numPr>
        <w:spacing w:line="276" w:lineRule="auto"/>
        <w:jc w:val="both"/>
        <w:rPr>
          <w:rFonts w:ascii="Times New Roman" w:hAnsi="Times New Roman" w:cs="Times New Roman"/>
          <w:sz w:val="24"/>
          <w:szCs w:val="24"/>
          <w:lang w:val="bg"/>
        </w:rPr>
      </w:pPr>
      <w:r w:rsidRPr="006971D5">
        <w:rPr>
          <w:rFonts w:ascii="Times New Roman" w:hAnsi="Times New Roman" w:cs="Times New Roman"/>
          <w:b/>
          <w:bCs/>
          <w:sz w:val="24"/>
          <w:szCs w:val="24"/>
          <w:lang w:val="bg"/>
        </w:rPr>
        <w:t>Технология:</w:t>
      </w:r>
      <w:r w:rsidRPr="006971D5">
        <w:rPr>
          <w:rFonts w:ascii="Times New Roman" w:hAnsi="Times New Roman" w:cs="Times New Roman"/>
          <w:sz w:val="24"/>
          <w:szCs w:val="24"/>
          <w:lang w:val="bg"/>
        </w:rPr>
        <w:t xml:space="preserve"> LEC могат да използват различни технологии, като например слънчеви панели, вятърни турбини, инсталации за биогаз и батерии, за да генерират и съхраняват енергия.</w:t>
      </w:r>
    </w:p>
    <w:p w:rsidR="00D22515" w:rsidRDefault="007906A8" w:rsidP="00B01311">
      <w:pPr>
        <w:pStyle w:val="ListParagraph"/>
        <w:numPr>
          <w:ilvl w:val="0"/>
          <w:numId w:val="53"/>
        </w:numPr>
        <w:spacing w:line="276" w:lineRule="auto"/>
        <w:jc w:val="both"/>
        <w:rPr>
          <w:rFonts w:ascii="Times New Roman" w:hAnsi="Times New Roman" w:cs="Times New Roman"/>
          <w:sz w:val="24"/>
          <w:szCs w:val="24"/>
          <w:lang w:val="bg"/>
        </w:rPr>
      </w:pPr>
      <w:r w:rsidRPr="006971D5">
        <w:rPr>
          <w:rFonts w:ascii="Times New Roman" w:hAnsi="Times New Roman" w:cs="Times New Roman"/>
          <w:b/>
          <w:bCs/>
          <w:sz w:val="24"/>
          <w:szCs w:val="24"/>
          <w:lang w:val="bg"/>
        </w:rPr>
        <w:t>Модели за споделяне на енергия:</w:t>
      </w:r>
      <w:r w:rsidRPr="006971D5">
        <w:rPr>
          <w:rFonts w:ascii="Times New Roman" w:hAnsi="Times New Roman" w:cs="Times New Roman"/>
          <w:sz w:val="24"/>
          <w:szCs w:val="24"/>
          <w:lang w:val="bg"/>
        </w:rPr>
        <w:t xml:space="preserve"> LEC могат да прилагат различни подходи към споделянето на енергия, включително пряко физическо споделяне, административно споделяне чрез мрежата, компенсиране на енергийните компоненти и споделяне на възнаграждения или тарифни корекции.</w:t>
      </w:r>
    </w:p>
    <w:p w:rsidR="007906A8" w:rsidRPr="00D22515" w:rsidRDefault="007906A8" w:rsidP="00B01311">
      <w:pPr>
        <w:pStyle w:val="ListParagraph"/>
        <w:numPr>
          <w:ilvl w:val="0"/>
          <w:numId w:val="53"/>
        </w:num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Дейности:</w:t>
      </w:r>
      <w:r w:rsidRPr="00D22515">
        <w:rPr>
          <w:rFonts w:ascii="Times New Roman" w:hAnsi="Times New Roman" w:cs="Times New Roman"/>
          <w:sz w:val="24"/>
          <w:szCs w:val="24"/>
          <w:lang w:val="bg"/>
        </w:rPr>
        <w:t xml:space="preserve"> LEC могат да участват в редица дейности извън производството и потреблението на енергия, включително енергийна ефективност, доставки, агрегиране, мобилност и отопление и охлаждане.</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LEC набират скорост като трансформиращ подход към производството и потреблението на енергия. Те представляват преход към по-децентрализирани, устойчиви и водени от общностите енергийни системи. Създаването и функционирането на LEC обаче се влияе от редица фактори и пречки, които могат или да улеснят, или да възпрепятстват тяхното развитие, както е посочено в последните доклади, публикувани от Nordic Energy Research</w:t>
      </w:r>
      <w:hyperlink w:anchor="bookmark4" w:tooltip="Current Document">
        <w:r w:rsidRPr="00BA7482">
          <w:rPr>
            <w:rStyle w:val="Hyperlink"/>
            <w:rFonts w:ascii="Times New Roman" w:hAnsi="Times New Roman" w:cs="Times New Roman"/>
            <w:sz w:val="24"/>
            <w:szCs w:val="24"/>
            <w:vertAlign w:val="superscript"/>
            <w:lang w:val="bg"/>
          </w:rPr>
          <w:footnoteReference w:id="5"/>
        </w:r>
      </w:hyperlink>
      <w:r w:rsidRPr="00D22515">
        <w:rPr>
          <w:rFonts w:ascii="Times New Roman" w:hAnsi="Times New Roman" w:cs="Times New Roman"/>
          <w:sz w:val="24"/>
          <w:szCs w:val="24"/>
          <w:lang w:val="bg"/>
        </w:rPr>
        <w:t xml:space="preserve"> and Energy Communities Repository</w:t>
      </w:r>
      <w:hyperlink w:anchor="bookmark5" w:tooltip="Current Document">
        <w:r w:rsidRPr="00BA7482">
          <w:rPr>
            <w:rStyle w:val="Hyperlink"/>
            <w:rFonts w:ascii="Times New Roman" w:hAnsi="Times New Roman" w:cs="Times New Roman"/>
            <w:sz w:val="24"/>
            <w:szCs w:val="24"/>
            <w:vertAlign w:val="superscript"/>
            <w:lang w:val="bg"/>
          </w:rPr>
          <w:footnoteReference w:id="6"/>
        </w:r>
      </w:hyperlink>
      <w:r w:rsidRPr="00BA7482">
        <w:rPr>
          <w:rFonts w:ascii="Times New Roman" w:hAnsi="Times New Roman" w:cs="Times New Roman"/>
          <w:sz w:val="24"/>
          <w:szCs w:val="24"/>
          <w:vertAlign w:val="superscript"/>
          <w:lang w:val="bg"/>
        </w:rPr>
        <w:t>.</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Движещите сили включват финансови стимули, като например потенциала за икономии на разходи и стабилни цени на енергията, както и екологични стимули, като например желанието да се допринесе за енергийния преход и да се увеличи използването на енергия от възобновяеми източници. Освен това перспективата за по-голям контрол върху енергийните доставки и възможността за реинвестиране на печалбите в общността са мощни мотиватори. Демократичният характер на местните енергийни общности, който дава възможност за участие на гражданите в местните енергийни решения, също играе значителна роля за тяхното приемане.</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 xml:space="preserve">От друга страна, няколко пречки могат да възпрепятстват напредъка на LEC. Липсата на обществена осведоменост и технически познания може да затрудни общностите да инициират проекти. Регулаторните и правните пречки, като например неясната правна </w:t>
      </w:r>
      <w:r w:rsidRPr="00D22515">
        <w:rPr>
          <w:rFonts w:ascii="Times New Roman" w:hAnsi="Times New Roman" w:cs="Times New Roman"/>
          <w:sz w:val="24"/>
          <w:szCs w:val="24"/>
          <w:lang w:val="bg"/>
        </w:rPr>
        <w:lastRenderedPageBreak/>
        <w:t>рамка или рестриктивните разпоредби, също могат да създадат значителни предизвикателства. Финансовите пречки, включително осигуряването на първоначални инвестиции и покриването на инфраструктурните разходи, са често срещани пречки. Освен това разчитането на други участници, като общини и оператори на мрежи, може да доведе до дисбаланси между органите и ограничена подкрепа. Техническите пречки включват трудности при получаването на мрежови връзки, интегрирането на разпределеното производство и навигацията в съществуващата мрежова инфраструктура. Ограниченият достъп до енергийните пазари, предизвикателствата пред конкуренцията с по-големите участници и недостатъчно развитите пазари на гъвкавост допълнително възпрепятстват участието. И накрая, сложността на създаването и функционирането на LEC, заедно с проблемите, свързани с възможностите за разрастване, могат да възпрат общностите да предприемат тези инициативи.</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Разбирането на тези движещи сили и бариери е от решаващо значение за политиците, лидерите на общността и заинтересованите страни, които се интересуват от насърчаването на растежа на LEC. Чрез преодоляване на пречките и привличане на движещите сили е възможно да се създаде среда, която подкрепя развитието на устойчиви и издръжливи енергийни общности.</w:t>
      </w:r>
    </w:p>
    <w:p w:rsidR="007906A8" w:rsidRPr="007906A8" w:rsidRDefault="007906A8" w:rsidP="00D22515">
      <w:pPr>
        <w:jc w:val="center"/>
        <w:rPr>
          <w:lang w:val="bg"/>
        </w:rPr>
      </w:pPr>
      <w:r w:rsidRPr="007906A8">
        <w:rPr>
          <w:noProof/>
          <w:lang w:val="bg-BG" w:eastAsia="bg-BG"/>
        </w:rPr>
        <w:drawing>
          <wp:inline distT="0" distB="0" distL="0" distR="0" wp14:anchorId="7259FEBA" wp14:editId="018E1C90">
            <wp:extent cx="2286000" cy="1666875"/>
            <wp:effectExtent l="0" t="0" r="0" b="9525"/>
            <wp:docPr id="23" name="Пикутър 23"/>
            <wp:cNvGraphicFramePr/>
            <a:graphic xmlns:a="http://schemas.openxmlformats.org/drawingml/2006/main">
              <a:graphicData uri="http://schemas.openxmlformats.org/drawingml/2006/picture">
                <pic:pic xmlns:pic="http://schemas.openxmlformats.org/drawingml/2006/picture">
                  <pic:nvPicPr>
                    <pic:cNvPr id="23" name="Снимка 23"/>
                    <pic:cNvPicPr/>
                  </pic:nvPicPr>
                  <pic:blipFill>
                    <a:blip r:embed="rId9"/>
                    <a:stretch/>
                  </pic:blipFill>
                  <pic:spPr>
                    <a:xfrm>
                      <a:off x="0" y="0"/>
                      <a:ext cx="2286000" cy="1666875"/>
                    </a:xfrm>
                    <a:prstGeom prst="rect">
                      <a:avLst/>
                    </a:prstGeom>
                  </pic:spPr>
                </pic:pic>
              </a:graphicData>
            </a:graphic>
          </wp:inline>
        </w:drawing>
      </w:r>
    </w:p>
    <w:p w:rsidR="007906A8" w:rsidRPr="00082BFC" w:rsidRDefault="00BE3D24" w:rsidP="00D22515">
      <w:pPr>
        <w:pStyle w:val="Heading1"/>
        <w:jc w:val="both"/>
        <w:rPr>
          <w:rFonts w:ascii="Times New Roman" w:hAnsi="Times New Roman" w:cs="Times New Roman"/>
          <w:b/>
          <w:color w:val="009999"/>
          <w:lang w:val="bg"/>
        </w:rPr>
      </w:pPr>
      <w:bookmarkStart w:id="22" w:name="bookmark185"/>
      <w:bookmarkStart w:id="23" w:name="bookmark184"/>
      <w:bookmarkStart w:id="24" w:name="_Toc203141257"/>
      <w:r>
        <w:rPr>
          <w:rFonts w:ascii="Times New Roman" w:hAnsi="Times New Roman" w:cs="Times New Roman"/>
          <w:color w:val="009999"/>
          <w:lang w:val="bg"/>
        </w:rPr>
        <w:t>3</w:t>
      </w:r>
      <w:r w:rsidR="00D22515" w:rsidRPr="00D22515">
        <w:rPr>
          <w:rFonts w:ascii="Times New Roman" w:hAnsi="Times New Roman" w:cs="Times New Roman"/>
          <w:color w:val="009999"/>
          <w:sz w:val="40"/>
          <w:szCs w:val="40"/>
          <w:lang w:val="bg"/>
        </w:rPr>
        <w:t>.</w:t>
      </w:r>
      <w:r w:rsidR="00D22515">
        <w:rPr>
          <w:rFonts w:ascii="Times New Roman" w:hAnsi="Times New Roman" w:cs="Times New Roman"/>
          <w:color w:val="009999"/>
          <w:sz w:val="40"/>
          <w:szCs w:val="40"/>
          <w:lang w:val="bg"/>
        </w:rPr>
        <w:t xml:space="preserve"> </w:t>
      </w:r>
      <w:r w:rsidR="00D22515" w:rsidRPr="00082BFC">
        <w:rPr>
          <w:rFonts w:ascii="Times New Roman" w:hAnsi="Times New Roman" w:cs="Times New Roman"/>
          <w:b/>
          <w:color w:val="009999"/>
          <w:lang w:val="bg"/>
        </w:rPr>
        <w:t>АНАЛИЗ НА РЕГУЛАТОРНАТА РАМКА И ПРОПУСКИТЕ В ПОЛИТИКАТА</w:t>
      </w:r>
      <w:bookmarkEnd w:id="22"/>
      <w:bookmarkEnd w:id="23"/>
      <w:bookmarkEnd w:id="24"/>
    </w:p>
    <w:p w:rsidR="00D22515" w:rsidRPr="00082BFC" w:rsidRDefault="00D22515" w:rsidP="00D22515">
      <w:pPr>
        <w:rPr>
          <w:sz w:val="32"/>
          <w:szCs w:val="32"/>
          <w:lang w:val="bg"/>
        </w:rPr>
      </w:pPr>
    </w:p>
    <w:p w:rsidR="007906A8" w:rsidRDefault="00BE3D24" w:rsidP="00D22515">
      <w:pPr>
        <w:pStyle w:val="Heading2"/>
        <w:rPr>
          <w:rFonts w:ascii="Times New Roman" w:hAnsi="Times New Roman" w:cs="Times New Roman"/>
          <w:color w:val="009999"/>
          <w:sz w:val="30"/>
          <w:szCs w:val="30"/>
          <w:lang w:val="bg"/>
        </w:rPr>
      </w:pPr>
      <w:bookmarkStart w:id="25" w:name="bookmark188"/>
      <w:bookmarkStart w:id="26" w:name="bookmark187"/>
      <w:bookmarkStart w:id="27" w:name="_Toc203141258"/>
      <w:r>
        <w:rPr>
          <w:rFonts w:ascii="Times New Roman" w:hAnsi="Times New Roman" w:cs="Times New Roman"/>
          <w:color w:val="009999"/>
          <w:sz w:val="30"/>
          <w:szCs w:val="30"/>
          <w:lang w:val="bg"/>
        </w:rPr>
        <w:t>3</w:t>
      </w:r>
      <w:r w:rsidR="00D22515" w:rsidRPr="00082BFC">
        <w:rPr>
          <w:rFonts w:ascii="Times New Roman" w:hAnsi="Times New Roman" w:cs="Times New Roman"/>
          <w:color w:val="009999"/>
          <w:sz w:val="30"/>
          <w:szCs w:val="30"/>
          <w:lang w:val="bg"/>
        </w:rPr>
        <w:t xml:space="preserve">.1 </w:t>
      </w:r>
      <w:r w:rsidR="007906A8" w:rsidRPr="00082BFC">
        <w:rPr>
          <w:rFonts w:ascii="Times New Roman" w:hAnsi="Times New Roman" w:cs="Times New Roman"/>
          <w:color w:val="009999"/>
          <w:sz w:val="30"/>
          <w:szCs w:val="30"/>
          <w:lang w:val="bg"/>
        </w:rPr>
        <w:t>Картографиране на българските разпоредби от значение за енергийните общности</w:t>
      </w:r>
      <w:bookmarkEnd w:id="25"/>
      <w:bookmarkEnd w:id="26"/>
      <w:bookmarkEnd w:id="27"/>
    </w:p>
    <w:p w:rsidR="00082BFC" w:rsidRPr="00082BFC" w:rsidRDefault="00082BFC" w:rsidP="00082BFC">
      <w:pPr>
        <w:rPr>
          <w:lang w:val="bg"/>
        </w:rPr>
      </w:pP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Регулаторната рамка на България за енергийните общности постепенно се разви в отговор на изискванията на Директивата на ЕС за енергията от възобновяеми източници (2018/2001/ЕО — RED II) и Директивата за вътрешния пазар на електроенергия (2019/944/ЕО — IMED). С тези директиви REC и CEC се установяват като нови форми на участници на пазара с права за производство, съхранение, споделяне и търговия с електроенергия — главно от възобновяеми източници. България официално е транспонирала тези понятия в националното законодателство, но практическата рамка за създаване и функциониране на енергийни общности остава фрагментирана и непълна.</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 xml:space="preserve">По-рано ЕС събираше данни от държавите членки относно техните съществуващи политики и разпоредби за енергийните общности в контекста на пакета за чиста енергия. </w:t>
      </w:r>
      <w:r w:rsidRPr="00D22515">
        <w:rPr>
          <w:rFonts w:ascii="Times New Roman" w:hAnsi="Times New Roman" w:cs="Times New Roman"/>
          <w:sz w:val="24"/>
          <w:szCs w:val="24"/>
          <w:lang w:val="bg"/>
        </w:rPr>
        <w:lastRenderedPageBreak/>
        <w:t>Информацията е публикувана в свободно достъпна база данни, наречена Хранилище на енергийните общности.</w:t>
      </w:r>
      <w:hyperlink w:anchor="bookmark6" w:tooltip="Current Document">
        <w:r w:rsidRPr="00D22515">
          <w:rPr>
            <w:rStyle w:val="Hyperlink"/>
            <w:rFonts w:ascii="Times New Roman" w:hAnsi="Times New Roman" w:cs="Times New Roman"/>
            <w:sz w:val="24"/>
            <w:szCs w:val="24"/>
            <w:lang w:val="bg"/>
          </w:rPr>
          <w:footnoteReference w:id="7"/>
        </w:r>
      </w:hyperlink>
      <w:r w:rsidRPr="00D22515">
        <w:rPr>
          <w:rFonts w:ascii="Times New Roman" w:hAnsi="Times New Roman" w:cs="Times New Roman"/>
          <w:sz w:val="24"/>
          <w:szCs w:val="24"/>
          <w:lang w:val="bg"/>
        </w:rPr>
        <w:t xml:space="preserve"> България не е предоставяла информация в това хранилище. По-долу е картографиране на съществуващите съответни разпоредби.</w:t>
      </w:r>
    </w:p>
    <w:p w:rsidR="00D22515" w:rsidRDefault="00BE3D24" w:rsidP="00D22515">
      <w:pPr>
        <w:pStyle w:val="Heading3"/>
        <w:rPr>
          <w:rFonts w:ascii="Times New Roman" w:hAnsi="Times New Roman" w:cs="Times New Roman"/>
          <w:color w:val="009999"/>
          <w:sz w:val="28"/>
          <w:szCs w:val="28"/>
          <w:lang w:val="bg"/>
        </w:rPr>
      </w:pPr>
      <w:bookmarkStart w:id="28" w:name="bookmark191"/>
      <w:bookmarkStart w:id="29" w:name="bookmark190"/>
      <w:bookmarkStart w:id="30" w:name="_Toc203141259"/>
      <w:r>
        <w:rPr>
          <w:rFonts w:ascii="Times New Roman" w:hAnsi="Times New Roman" w:cs="Times New Roman"/>
          <w:color w:val="009999"/>
          <w:sz w:val="28"/>
          <w:szCs w:val="28"/>
          <w:lang w:val="bg"/>
        </w:rPr>
        <w:t>3</w:t>
      </w:r>
      <w:r w:rsidR="00D22515" w:rsidRPr="00D22515">
        <w:rPr>
          <w:rFonts w:ascii="Times New Roman" w:hAnsi="Times New Roman" w:cs="Times New Roman"/>
          <w:color w:val="009999"/>
          <w:sz w:val="28"/>
          <w:szCs w:val="28"/>
          <w:lang w:val="bg"/>
        </w:rPr>
        <w:t xml:space="preserve">.1.1 </w:t>
      </w:r>
      <w:r w:rsidR="007906A8" w:rsidRPr="00D22515">
        <w:rPr>
          <w:rFonts w:ascii="Times New Roman" w:hAnsi="Times New Roman" w:cs="Times New Roman"/>
          <w:color w:val="009999"/>
          <w:sz w:val="28"/>
          <w:szCs w:val="28"/>
          <w:lang w:val="bg"/>
        </w:rPr>
        <w:t>Приложимо българско законодателство и наредби</w:t>
      </w:r>
      <w:bookmarkEnd w:id="28"/>
      <w:bookmarkEnd w:id="29"/>
      <w:bookmarkEnd w:id="30"/>
    </w:p>
    <w:p w:rsidR="00082BFC" w:rsidRPr="00082BFC" w:rsidRDefault="00082BFC" w:rsidP="00082BFC">
      <w:pPr>
        <w:rPr>
          <w:lang w:val="bg"/>
        </w:rPr>
      </w:pP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 xml:space="preserve">Законът за енергетиката </w:t>
      </w:r>
      <w:hyperlink r:id="rId10" w:history="1">
        <w:r w:rsidRPr="00D22515">
          <w:rPr>
            <w:rStyle w:val="Hyperlink"/>
            <w:rFonts w:ascii="Times New Roman" w:hAnsi="Times New Roman" w:cs="Times New Roman"/>
            <w:sz w:val="24"/>
            <w:szCs w:val="24"/>
            <w:lang w:val="bg"/>
          </w:rPr>
          <w:t>(ЗЕ)</w:t>
        </w:r>
      </w:hyperlink>
      <w:r w:rsidRPr="00D22515">
        <w:rPr>
          <w:rFonts w:ascii="Times New Roman" w:hAnsi="Times New Roman" w:cs="Times New Roman"/>
          <w:sz w:val="24"/>
          <w:szCs w:val="24"/>
          <w:lang w:val="bg"/>
        </w:rPr>
        <w:t xml:space="preserve"> е централният закон, уреждащ пазара на електроенергия в България. Тя определя </w:t>
      </w:r>
      <w:r w:rsidRPr="00D22515">
        <w:rPr>
          <w:rFonts w:ascii="Times New Roman" w:hAnsi="Times New Roman" w:cs="Times New Roman"/>
          <w:sz w:val="24"/>
          <w:szCs w:val="24"/>
          <w:lang w:val="bg-BG"/>
        </w:rPr>
        <w:t>СЕС</w:t>
      </w:r>
      <w:r w:rsidRPr="00D22515">
        <w:rPr>
          <w:rFonts w:ascii="Times New Roman" w:hAnsi="Times New Roman" w:cs="Times New Roman"/>
          <w:sz w:val="24"/>
          <w:szCs w:val="24"/>
          <w:lang w:val="bg"/>
        </w:rPr>
        <w:t>, като им дава право да участват на енергийните пазари с недискриминационен достъп до мрежата. Законът обаче не уточнява подробните оперативни процедури за тези общности.</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 xml:space="preserve">Законът </w:t>
      </w:r>
      <w:r w:rsidRPr="00D22515">
        <w:rPr>
          <w:rFonts w:ascii="Times New Roman" w:hAnsi="Times New Roman" w:cs="Times New Roman"/>
          <w:b/>
          <w:bCs/>
          <w:sz w:val="24"/>
          <w:szCs w:val="24"/>
          <w:lang w:val="bg"/>
        </w:rPr>
        <w:t xml:space="preserve">за възобновяемите енергийни източници (ЗВЕИ, </w:t>
      </w:r>
      <w:hyperlink r:id="rId11" w:history="1">
        <w:r w:rsidRPr="00D22515">
          <w:rPr>
            <w:rStyle w:val="Hyperlink"/>
            <w:rFonts w:ascii="Times New Roman" w:hAnsi="Times New Roman" w:cs="Times New Roman"/>
            <w:sz w:val="24"/>
            <w:szCs w:val="24"/>
            <w:lang w:val="bg"/>
          </w:rPr>
          <w:t xml:space="preserve"> Закон за енергията от възобновяеми</w:t>
        </w:r>
      </w:hyperlink>
      <w:r w:rsidRPr="00D22515">
        <w:rPr>
          <w:rFonts w:ascii="Times New Roman" w:hAnsi="Times New Roman" w:cs="Times New Roman"/>
          <w:sz w:val="24"/>
          <w:szCs w:val="24"/>
          <w:lang w:val="bg"/>
        </w:rPr>
        <w:t xml:space="preserve"> </w:t>
      </w:r>
      <w:hyperlink r:id="rId12" w:history="1">
        <w:r w:rsidRPr="00D22515">
          <w:rPr>
            <w:rStyle w:val="Hyperlink"/>
            <w:rFonts w:ascii="Times New Roman" w:hAnsi="Times New Roman" w:cs="Times New Roman"/>
            <w:sz w:val="24"/>
            <w:szCs w:val="24"/>
            <w:lang w:val="bg"/>
          </w:rPr>
          <w:t>източници)</w:t>
        </w:r>
      </w:hyperlink>
      <w:r w:rsidRPr="00D22515">
        <w:rPr>
          <w:rFonts w:ascii="Times New Roman" w:hAnsi="Times New Roman" w:cs="Times New Roman"/>
          <w:sz w:val="24"/>
          <w:szCs w:val="24"/>
          <w:lang w:val="bg"/>
        </w:rPr>
        <w:t xml:space="preserve"> определя РЕС. Те са ограничени до производството на енергия от възобновяеми източници и са предмет на изисквания за географска близост, които </w:t>
      </w:r>
      <w:r w:rsidRPr="00D22515">
        <w:rPr>
          <w:rFonts w:ascii="Times New Roman" w:hAnsi="Times New Roman" w:cs="Times New Roman"/>
          <w:sz w:val="24"/>
          <w:szCs w:val="24"/>
          <w:lang w:val="bg-BG"/>
        </w:rPr>
        <w:t>З</w:t>
      </w:r>
      <w:r w:rsidRPr="00D22515">
        <w:rPr>
          <w:rFonts w:ascii="Times New Roman" w:hAnsi="Times New Roman" w:cs="Times New Roman"/>
          <w:sz w:val="24"/>
          <w:szCs w:val="24"/>
          <w:lang w:val="bg"/>
        </w:rPr>
        <w:t>ЕВИ не налага. Законът за ВЕИ позволява на РЕЦ да произвеждат, съхраняват, потребяват и продават енергия от възобновяеми източници.</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 xml:space="preserve">Правилата за пазара на електроенергия </w:t>
      </w:r>
      <w:hyperlink r:id="rId13" w:history="1">
        <w:r w:rsidRPr="00D22515">
          <w:rPr>
            <w:rStyle w:val="Hyperlink"/>
            <w:rFonts w:ascii="Times New Roman" w:hAnsi="Times New Roman" w:cs="Times New Roman"/>
            <w:sz w:val="24"/>
            <w:szCs w:val="24"/>
            <w:lang w:val="bg"/>
          </w:rPr>
          <w:t>(правила</w:t>
        </w:r>
        <w:r w:rsidRPr="00D22515">
          <w:rPr>
            <w:rStyle w:val="Hyperlink"/>
            <w:rFonts w:ascii="Times New Roman" w:hAnsi="Times New Roman" w:cs="Times New Roman"/>
            <w:sz w:val="24"/>
            <w:szCs w:val="24"/>
            <w:lang w:val="bg-BG"/>
          </w:rPr>
          <w:t xml:space="preserve"> </w:t>
        </w:r>
        <w:r w:rsidRPr="00D22515">
          <w:rPr>
            <w:rStyle w:val="Hyperlink"/>
            <w:rFonts w:ascii="Times New Roman" w:hAnsi="Times New Roman" w:cs="Times New Roman"/>
            <w:sz w:val="24"/>
            <w:szCs w:val="24"/>
            <w:lang w:val="bg"/>
          </w:rPr>
          <w:t>за търговия с електрическа енергия)</w:t>
        </w:r>
      </w:hyperlink>
      <w:r w:rsidRPr="00D22515">
        <w:rPr>
          <w:rFonts w:ascii="Times New Roman" w:hAnsi="Times New Roman" w:cs="Times New Roman"/>
          <w:sz w:val="24"/>
          <w:szCs w:val="24"/>
          <w:lang w:val="bg"/>
        </w:rPr>
        <w:t xml:space="preserve"> регулират участието на пазара на електроенергия, като обхващат търговията, съставянето на графици и балансирането. Понастоящем обаче тези правила не признават енергийните общности като отделни участници на пазара, нито предвиждат конкретни процедури за това как те могат да търгуват с електроенергия или да предлагат услуги за гъвкавост. Най-новата версия на Правилата за енергийния пазар можете да намерите на сайта на Комисията за енергийно и водно регулиране (КЕВР) на dker.bg.</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 xml:space="preserve"> </w:t>
      </w:r>
      <w:r w:rsidRPr="00D22515">
        <w:rPr>
          <w:rFonts w:ascii="Times New Roman" w:hAnsi="Times New Roman" w:cs="Times New Roman"/>
          <w:b/>
          <w:bCs/>
          <w:sz w:val="24"/>
          <w:szCs w:val="24"/>
          <w:lang w:val="bg"/>
        </w:rPr>
        <w:t xml:space="preserve">Правилата за измерване на електроенергията </w:t>
      </w:r>
      <w:hyperlink r:id="rId14" w:history="1">
        <w:r w:rsidRPr="00D22515">
          <w:rPr>
            <w:rStyle w:val="Hyperlink"/>
            <w:rFonts w:ascii="Times New Roman" w:hAnsi="Times New Roman" w:cs="Times New Roman"/>
            <w:sz w:val="24"/>
            <w:szCs w:val="24"/>
            <w:lang w:val="bg"/>
          </w:rPr>
          <w:t>(Правилата</w:t>
        </w:r>
        <w:r w:rsidRPr="00D22515">
          <w:rPr>
            <w:rStyle w:val="Hyperlink"/>
            <w:rFonts w:ascii="Times New Roman" w:hAnsi="Times New Roman" w:cs="Times New Roman"/>
            <w:sz w:val="24"/>
            <w:szCs w:val="24"/>
            <w:lang w:val="bg-BG"/>
          </w:rPr>
          <w:t xml:space="preserve"> </w:t>
        </w:r>
        <w:r w:rsidRPr="00D22515">
          <w:rPr>
            <w:rStyle w:val="Hyperlink"/>
            <w:rFonts w:ascii="Times New Roman" w:hAnsi="Times New Roman" w:cs="Times New Roman"/>
            <w:sz w:val="24"/>
            <w:szCs w:val="24"/>
            <w:lang w:val="bg"/>
          </w:rPr>
          <w:t>за измерване на количеството електрическа</w:t>
        </w:r>
      </w:hyperlink>
      <w:r w:rsidRPr="00D22515">
        <w:rPr>
          <w:rFonts w:ascii="Times New Roman" w:hAnsi="Times New Roman" w:cs="Times New Roman"/>
          <w:sz w:val="24"/>
          <w:szCs w:val="24"/>
          <w:lang w:val="bg"/>
        </w:rPr>
        <w:t xml:space="preserve"> </w:t>
      </w:r>
      <w:hyperlink r:id="rId15" w:history="1">
        <w:r w:rsidRPr="00D22515">
          <w:rPr>
            <w:rStyle w:val="Hyperlink"/>
            <w:rFonts w:ascii="Times New Roman" w:hAnsi="Times New Roman" w:cs="Times New Roman"/>
            <w:sz w:val="24"/>
            <w:szCs w:val="24"/>
            <w:lang w:val="bg"/>
          </w:rPr>
          <w:t>енергия)</w:t>
        </w:r>
      </w:hyperlink>
      <w:r w:rsidRPr="00D22515">
        <w:rPr>
          <w:rFonts w:ascii="Times New Roman" w:hAnsi="Times New Roman" w:cs="Times New Roman"/>
          <w:sz w:val="24"/>
          <w:szCs w:val="24"/>
          <w:lang w:val="bg"/>
        </w:rPr>
        <w:t xml:space="preserve"> уреждат начина</w:t>
      </w:r>
      <w:r w:rsidR="00D22515">
        <w:rPr>
          <w:rFonts w:ascii="Times New Roman" w:hAnsi="Times New Roman" w:cs="Times New Roman"/>
          <w:sz w:val="24"/>
          <w:szCs w:val="24"/>
          <w:lang w:val="bg"/>
        </w:rPr>
        <w:t xml:space="preserve"> </w:t>
      </w:r>
      <w:r w:rsidRPr="00D22515">
        <w:rPr>
          <w:rFonts w:ascii="Times New Roman" w:hAnsi="Times New Roman" w:cs="Times New Roman"/>
          <w:sz w:val="24"/>
          <w:szCs w:val="24"/>
          <w:lang w:val="bg"/>
        </w:rPr>
        <w:t>на измерване на производството и потреблението на електроенергия. Тези правила все още не разглеждат колективното потребление на собствена електроенергия или общите изисквания за измерване за енергийните общности. Правилата са достъпни и на dker.bg.</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sz w:val="24"/>
          <w:szCs w:val="24"/>
          <w:lang w:val="bg"/>
        </w:rPr>
        <w:t xml:space="preserve">Достъпът до мрежата за инсталации за енергия от възобновяеми източници, включително тези, които са собственост на енергийни общности, се урежда от </w:t>
      </w:r>
      <w:r w:rsidRPr="00D22515">
        <w:rPr>
          <w:rFonts w:ascii="Times New Roman" w:hAnsi="Times New Roman" w:cs="Times New Roman"/>
          <w:b/>
          <w:bCs/>
          <w:sz w:val="24"/>
          <w:szCs w:val="24"/>
          <w:lang w:val="bg"/>
        </w:rPr>
        <w:t>Наредбата за присъединяване към мрежата (</w:t>
      </w:r>
      <w:r w:rsidRPr="00D22515">
        <w:rPr>
          <w:rFonts w:ascii="Times New Roman" w:hAnsi="Times New Roman" w:cs="Times New Roman"/>
          <w:bCs/>
          <w:sz w:val="24"/>
          <w:szCs w:val="24"/>
          <w:lang w:val="bg"/>
        </w:rPr>
        <w:t>Наредба</w:t>
      </w:r>
      <w:r w:rsidRPr="00D22515">
        <w:rPr>
          <w:rFonts w:ascii="Times New Roman" w:hAnsi="Times New Roman" w:cs="Times New Roman"/>
          <w:b/>
          <w:bCs/>
          <w:sz w:val="24"/>
          <w:szCs w:val="24"/>
          <w:lang w:val="bg"/>
        </w:rPr>
        <w:t xml:space="preserve"> </w:t>
      </w:r>
      <w:hyperlink r:id="rId16" w:history="1">
        <w:r w:rsidRPr="00D22515">
          <w:rPr>
            <w:rStyle w:val="Hyperlink"/>
            <w:rFonts w:ascii="Times New Roman" w:hAnsi="Times New Roman" w:cs="Times New Roman"/>
            <w:sz w:val="24"/>
            <w:szCs w:val="24"/>
            <w:lang w:val="bg"/>
          </w:rPr>
          <w:t>за присъединяване на</w:t>
        </w:r>
      </w:hyperlink>
      <w:r w:rsidR="00D22515">
        <w:rPr>
          <w:rFonts w:ascii="Times New Roman" w:hAnsi="Times New Roman" w:cs="Times New Roman"/>
          <w:sz w:val="24"/>
          <w:szCs w:val="24"/>
          <w:lang w:val="bg-BG"/>
        </w:rPr>
        <w:t xml:space="preserve"> </w:t>
      </w:r>
      <w:hyperlink r:id="rId17" w:history="1">
        <w:r w:rsidRPr="00D22515">
          <w:rPr>
            <w:rStyle w:val="Hyperlink"/>
            <w:rFonts w:ascii="Times New Roman" w:hAnsi="Times New Roman" w:cs="Times New Roman"/>
            <w:sz w:val="24"/>
            <w:szCs w:val="24"/>
            <w:lang w:val="bg"/>
          </w:rPr>
          <w:t>производители и потребители към електропреносна и електроразпределителна</w:t>
        </w:r>
      </w:hyperlink>
      <w:r w:rsidRPr="00D22515">
        <w:rPr>
          <w:rFonts w:ascii="Times New Roman" w:hAnsi="Times New Roman" w:cs="Times New Roman"/>
          <w:sz w:val="24"/>
          <w:szCs w:val="24"/>
          <w:lang w:val="bg"/>
        </w:rPr>
        <w:t xml:space="preserve"> </w:t>
      </w:r>
      <w:hyperlink r:id="rId18" w:history="1">
        <w:r w:rsidRPr="00D22515">
          <w:rPr>
            <w:rStyle w:val="Hyperlink"/>
            <w:rFonts w:ascii="Times New Roman" w:hAnsi="Times New Roman" w:cs="Times New Roman"/>
            <w:sz w:val="24"/>
            <w:szCs w:val="24"/>
            <w:lang w:val="bg"/>
          </w:rPr>
          <w:t xml:space="preserve">мрежи </w:t>
        </w:r>
      </w:hyperlink>
      <w:r w:rsidRPr="00D22515">
        <w:rPr>
          <w:rFonts w:ascii="Times New Roman" w:hAnsi="Times New Roman" w:cs="Times New Roman"/>
          <w:sz w:val="24"/>
          <w:szCs w:val="24"/>
          <w:lang w:val="bg"/>
        </w:rPr>
        <w:t xml:space="preserve">- изв. още като НАРЕДБА </w:t>
      </w:r>
      <w:r w:rsidRPr="00FD3439">
        <w:rPr>
          <w:rFonts w:ascii="Times New Roman" w:hAnsi="Times New Roman" w:cs="Times New Roman"/>
          <w:sz w:val="24"/>
          <w:szCs w:val="24"/>
          <w:lang w:val="bg-BG"/>
        </w:rPr>
        <w:t>No 6 / Наредба No</w:t>
      </w:r>
      <w:r w:rsidRPr="00D22515">
        <w:rPr>
          <w:rFonts w:ascii="Times New Roman" w:hAnsi="Times New Roman" w:cs="Times New Roman"/>
          <w:sz w:val="24"/>
          <w:szCs w:val="24"/>
          <w:lang w:val="bg"/>
        </w:rPr>
        <w:t xml:space="preserve"> 6 и официално НАРЕДБА No 6 ОТ 24 ФЕВРУАРИ 2014 Г. ЗА ПРИСЪЕДИНЯВАНЕ НА ПРОИЗВОДИТЕЛИ И КЛИЕНТИ НА ЕЛЕКТРИЧЕСКА ЕН</w:t>
      </w:r>
      <w:r w:rsidRPr="00D22515">
        <w:rPr>
          <w:rFonts w:ascii="Times New Roman" w:hAnsi="Times New Roman" w:cs="Times New Roman"/>
          <w:sz w:val="24"/>
          <w:szCs w:val="24"/>
          <w:lang w:val="bg-BG"/>
        </w:rPr>
        <w:t>Е</w:t>
      </w:r>
      <w:r w:rsidRPr="00D22515">
        <w:rPr>
          <w:rFonts w:ascii="Times New Roman" w:hAnsi="Times New Roman" w:cs="Times New Roman"/>
          <w:sz w:val="24"/>
          <w:szCs w:val="24"/>
          <w:lang w:val="bg"/>
        </w:rPr>
        <w:t>ГИЯ КЪМ ПРЕНОСНАТА ИЛИ КЪМ РАЗПРЕДЕЛИТЕЛНА ЕЛЕКТРИЧЕСКИ МРЕЖИ)</w:t>
      </w:r>
      <w:r w:rsidRPr="00D22515">
        <w:rPr>
          <w:rFonts w:ascii="Times New Roman" w:hAnsi="Times New Roman" w:cs="Times New Roman"/>
          <w:b/>
          <w:bCs/>
          <w:sz w:val="24"/>
          <w:szCs w:val="24"/>
          <w:lang w:val="bg"/>
        </w:rPr>
        <w:t>.</w:t>
      </w:r>
      <w:r w:rsidRPr="00D22515">
        <w:rPr>
          <w:rFonts w:ascii="Times New Roman" w:hAnsi="Times New Roman" w:cs="Times New Roman"/>
          <w:sz w:val="24"/>
          <w:szCs w:val="24"/>
          <w:lang w:val="bg"/>
        </w:rPr>
        <w:t xml:space="preserve"> Тази наредба обаче не предвижда опростени процедури или специални разпоредби за инсталациите, които са общинска собственост.</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Със Закона за устройство на територията</w:t>
      </w:r>
      <w:r w:rsidRPr="00D22515">
        <w:rPr>
          <w:rFonts w:ascii="Times New Roman" w:hAnsi="Times New Roman" w:cs="Times New Roman"/>
          <w:b/>
          <w:bCs/>
          <w:sz w:val="24"/>
          <w:szCs w:val="24"/>
          <w:lang w:val="bg-BG"/>
        </w:rPr>
        <w:t xml:space="preserve"> </w:t>
      </w:r>
      <w:hyperlink r:id="rId19" w:history="1">
        <w:r w:rsidRPr="00D22515">
          <w:rPr>
            <w:rStyle w:val="Hyperlink"/>
            <w:rFonts w:ascii="Times New Roman" w:hAnsi="Times New Roman" w:cs="Times New Roman"/>
            <w:sz w:val="24"/>
            <w:szCs w:val="24"/>
            <w:lang w:val="bg"/>
          </w:rPr>
          <w:t xml:space="preserve">(ЗУТ) </w:t>
        </w:r>
      </w:hyperlink>
      <w:r w:rsidRPr="00D22515">
        <w:rPr>
          <w:rFonts w:ascii="Times New Roman" w:hAnsi="Times New Roman" w:cs="Times New Roman"/>
          <w:sz w:val="24"/>
          <w:szCs w:val="24"/>
          <w:lang w:val="bg"/>
        </w:rPr>
        <w:t xml:space="preserve"> се урежда процесът на изграждане и издаване на разрешения за инсталации за енергия от възобновяеми източници, включително от енергийни общности.</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lastRenderedPageBreak/>
        <w:t>Законът</w:t>
      </w:r>
      <w:r w:rsidRPr="00D22515">
        <w:rPr>
          <w:rFonts w:ascii="Times New Roman" w:hAnsi="Times New Roman" w:cs="Times New Roman"/>
          <w:b/>
          <w:bCs/>
          <w:sz w:val="24"/>
          <w:szCs w:val="24"/>
          <w:lang w:val="bg-BG"/>
        </w:rPr>
        <w:t xml:space="preserve"> </w:t>
      </w:r>
      <w:hyperlink r:id="rId20" w:history="1">
        <w:r w:rsidRPr="00D22515">
          <w:rPr>
            <w:rStyle w:val="Hyperlink"/>
            <w:rFonts w:ascii="Times New Roman" w:hAnsi="Times New Roman" w:cs="Times New Roman"/>
            <w:sz w:val="24"/>
            <w:szCs w:val="24"/>
            <w:lang w:val="bg"/>
          </w:rPr>
          <w:t>за управление на етажната собственост</w:t>
        </w:r>
      </w:hyperlink>
      <w:r w:rsidRPr="00D22515">
        <w:rPr>
          <w:rFonts w:ascii="Times New Roman" w:hAnsi="Times New Roman" w:cs="Times New Roman"/>
          <w:sz w:val="24"/>
          <w:szCs w:val="24"/>
          <w:lang w:val="bg"/>
        </w:rPr>
        <w:t xml:space="preserve"> предоставя ограничена рамка за колективно вземане на решения и управление в жилищни сгради. Въпреки че може да бъде от значение за проекти за колективно потребление на собствена електроенергия, той не подкрепя пряко създаването на енергийни общности.</w:t>
      </w:r>
    </w:p>
    <w:p w:rsidR="007906A8" w:rsidRPr="00D22515" w:rsidRDefault="007906A8" w:rsidP="00D22515">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 xml:space="preserve">Законът за кооперациите </w:t>
      </w:r>
      <w:r w:rsidRPr="00D22515">
        <w:rPr>
          <w:rFonts w:ascii="Times New Roman" w:hAnsi="Times New Roman" w:cs="Times New Roman"/>
          <w:sz w:val="24"/>
          <w:szCs w:val="24"/>
          <w:lang w:val="bg"/>
        </w:rPr>
        <w:t xml:space="preserve"> (</w:t>
      </w:r>
      <w:hyperlink r:id="rId21" w:history="1">
        <w:r w:rsidRPr="00D22515">
          <w:rPr>
            <w:rStyle w:val="Hyperlink"/>
            <w:rFonts w:ascii="Times New Roman" w:hAnsi="Times New Roman" w:cs="Times New Roman"/>
            <w:sz w:val="24"/>
            <w:szCs w:val="24"/>
            <w:lang w:val="bg"/>
          </w:rPr>
          <w:t>https://lex.bg/laws/ldoc/2134696966</w:t>
        </w:r>
      </w:hyperlink>
      <w:r w:rsidRPr="00D22515">
        <w:rPr>
          <w:rFonts w:ascii="Times New Roman" w:hAnsi="Times New Roman" w:cs="Times New Roman"/>
          <w:sz w:val="24"/>
          <w:szCs w:val="24"/>
          <w:u w:val="single"/>
          <w:lang w:val="bg"/>
        </w:rPr>
        <w:t>)</w:t>
      </w:r>
      <w:r w:rsidRPr="00D22515">
        <w:rPr>
          <w:rFonts w:ascii="Times New Roman" w:hAnsi="Times New Roman" w:cs="Times New Roman"/>
          <w:sz w:val="24"/>
          <w:szCs w:val="24"/>
          <w:lang w:val="bg"/>
        </w:rPr>
        <w:t>предоставя потенциална правна форма за енергийните общности, но настоящият му обхват до голяма степен е свързан със селскостопанските кооперации. Ще бъдат необходими незначителни изменения, за да стане подходящ за енергийни проекти.</w:t>
      </w:r>
    </w:p>
    <w:p w:rsidR="00FA57D1" w:rsidRDefault="007906A8" w:rsidP="00FA57D1">
      <w:pPr>
        <w:spacing w:line="276" w:lineRule="auto"/>
        <w:jc w:val="both"/>
        <w:rPr>
          <w:rFonts w:ascii="Times New Roman" w:hAnsi="Times New Roman" w:cs="Times New Roman"/>
          <w:sz w:val="24"/>
          <w:szCs w:val="24"/>
          <w:lang w:val="bg"/>
        </w:rPr>
      </w:pPr>
      <w:r w:rsidRPr="00D22515">
        <w:rPr>
          <w:rFonts w:ascii="Times New Roman" w:hAnsi="Times New Roman" w:cs="Times New Roman"/>
          <w:b/>
          <w:bCs/>
          <w:sz w:val="24"/>
          <w:szCs w:val="24"/>
          <w:lang w:val="bg"/>
        </w:rPr>
        <w:t xml:space="preserve">Законът за юридическите лица с нестопанска </w:t>
      </w:r>
      <w:r w:rsidRPr="00D22515">
        <w:rPr>
          <w:rFonts w:ascii="Times New Roman" w:hAnsi="Times New Roman" w:cs="Times New Roman"/>
          <w:sz w:val="24"/>
          <w:szCs w:val="24"/>
          <w:lang w:val="bg"/>
        </w:rPr>
        <w:t>цел</w:t>
      </w:r>
      <w:r w:rsidRPr="00D22515">
        <w:rPr>
          <w:rFonts w:ascii="Times New Roman" w:hAnsi="Times New Roman" w:cs="Times New Roman"/>
          <w:sz w:val="24"/>
          <w:szCs w:val="24"/>
          <w:lang w:val="bg-BG"/>
        </w:rPr>
        <w:t xml:space="preserve">  </w:t>
      </w:r>
      <w:hyperlink r:id="rId22" w:history="1">
        <w:r w:rsidRPr="00D22515">
          <w:rPr>
            <w:rStyle w:val="Hyperlink"/>
            <w:rFonts w:ascii="Times New Roman" w:hAnsi="Times New Roman" w:cs="Times New Roman"/>
            <w:sz w:val="24"/>
            <w:szCs w:val="24"/>
            <w:lang w:val="bg"/>
          </w:rPr>
          <w:t>(Закон</w:t>
        </w:r>
        <w:r w:rsidRPr="00D22515">
          <w:rPr>
            <w:rStyle w:val="Hyperlink"/>
            <w:rFonts w:ascii="Times New Roman" w:hAnsi="Times New Roman" w:cs="Times New Roman"/>
            <w:sz w:val="24"/>
            <w:szCs w:val="24"/>
            <w:lang w:val="bg-BG"/>
          </w:rPr>
          <w:t xml:space="preserve"> </w:t>
        </w:r>
        <w:r w:rsidRPr="00D22515">
          <w:rPr>
            <w:rStyle w:val="Hyperlink"/>
            <w:rFonts w:ascii="Times New Roman" w:hAnsi="Times New Roman" w:cs="Times New Roman"/>
            <w:sz w:val="24"/>
            <w:szCs w:val="24"/>
            <w:lang w:val="bg"/>
          </w:rPr>
          <w:t>за юридическите лица с нестопанска цел)</w:t>
        </w:r>
      </w:hyperlink>
      <w:r w:rsidRPr="00D22515">
        <w:rPr>
          <w:rFonts w:ascii="Times New Roman" w:hAnsi="Times New Roman" w:cs="Times New Roman"/>
          <w:sz w:val="24"/>
          <w:szCs w:val="24"/>
          <w:lang w:val="bg"/>
        </w:rPr>
        <w:t xml:space="preserve"> също предлага потенциална правна форма за енергийните общности. Енергийните дейности обаче не се вписват добре в съществуващите категории за сдруженията с нестопанска цел. Ще бъдат необходими изменения, за да се пр</w:t>
      </w:r>
      <w:r w:rsidR="00456F68">
        <w:rPr>
          <w:rFonts w:ascii="Times New Roman" w:hAnsi="Times New Roman" w:cs="Times New Roman"/>
          <w:sz w:val="24"/>
          <w:szCs w:val="24"/>
          <w:lang w:val="bg"/>
        </w:rPr>
        <w:t>испособят енергийните общности.</w:t>
      </w:r>
      <w:bookmarkStart w:id="31" w:name="bookmark194"/>
      <w:bookmarkStart w:id="32" w:name="bookmark193"/>
    </w:p>
    <w:p w:rsidR="00FA57D1" w:rsidRDefault="00FA57D1" w:rsidP="00FA57D1">
      <w:pPr>
        <w:spacing w:line="276" w:lineRule="auto"/>
        <w:jc w:val="both"/>
        <w:rPr>
          <w:rFonts w:ascii="Times New Roman" w:hAnsi="Times New Roman" w:cs="Times New Roman"/>
          <w:sz w:val="24"/>
          <w:szCs w:val="24"/>
          <w:lang w:val="bg"/>
        </w:rPr>
      </w:pPr>
    </w:p>
    <w:p w:rsidR="007906A8" w:rsidRDefault="00BE3D24" w:rsidP="00FA57D1">
      <w:pPr>
        <w:spacing w:line="276" w:lineRule="auto"/>
        <w:jc w:val="both"/>
        <w:rPr>
          <w:rFonts w:ascii="Times New Roman" w:hAnsi="Times New Roman" w:cs="Times New Roman"/>
          <w:color w:val="009999"/>
          <w:sz w:val="28"/>
          <w:szCs w:val="28"/>
          <w:lang w:val="bg"/>
        </w:rPr>
      </w:pPr>
      <w:r>
        <w:rPr>
          <w:rFonts w:ascii="Times New Roman" w:hAnsi="Times New Roman" w:cs="Times New Roman"/>
          <w:color w:val="009999"/>
          <w:sz w:val="28"/>
          <w:szCs w:val="28"/>
          <w:lang w:val="bg"/>
        </w:rPr>
        <w:t>3.</w:t>
      </w:r>
      <w:r w:rsidR="0099166B" w:rsidRPr="0099166B">
        <w:rPr>
          <w:rFonts w:ascii="Times New Roman" w:hAnsi="Times New Roman" w:cs="Times New Roman"/>
          <w:color w:val="009999"/>
          <w:sz w:val="28"/>
          <w:szCs w:val="28"/>
          <w:lang w:val="bg"/>
        </w:rPr>
        <w:t xml:space="preserve">1.2 </w:t>
      </w:r>
      <w:r w:rsidR="007906A8" w:rsidRPr="0099166B">
        <w:rPr>
          <w:rFonts w:ascii="Times New Roman" w:hAnsi="Times New Roman" w:cs="Times New Roman"/>
          <w:color w:val="009999"/>
          <w:sz w:val="28"/>
          <w:szCs w:val="28"/>
          <w:lang w:val="bg"/>
        </w:rPr>
        <w:t>Основни пропуски и пречки</w:t>
      </w:r>
      <w:bookmarkEnd w:id="31"/>
      <w:bookmarkEnd w:id="32"/>
    </w:p>
    <w:p w:rsidR="00082BFC" w:rsidRPr="00082BFC" w:rsidRDefault="00082BFC" w:rsidP="00082BFC">
      <w:pPr>
        <w:rPr>
          <w:lang w:val="bg"/>
        </w:rPr>
      </w:pP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Въпреки официалното признаване на енергийните общности в Закона за енергетиката и Закона за възобновяемите енергийни източници, регулаторната рамка на България съдържа значителни пропуски:</w:t>
      </w:r>
    </w:p>
    <w:p w:rsidR="0099166B" w:rsidRDefault="007906A8" w:rsidP="00B01311">
      <w:pPr>
        <w:pStyle w:val="ListParagraph"/>
        <w:numPr>
          <w:ilvl w:val="0"/>
          <w:numId w:val="54"/>
        </w:num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 xml:space="preserve">Няма </w:t>
      </w:r>
      <w:r w:rsidRPr="0099166B">
        <w:rPr>
          <w:rFonts w:ascii="Times New Roman" w:hAnsi="Times New Roman" w:cs="Times New Roman"/>
          <w:b/>
          <w:bCs/>
          <w:sz w:val="24"/>
          <w:szCs w:val="24"/>
          <w:lang w:val="bg"/>
        </w:rPr>
        <w:t xml:space="preserve">специален процес на регистрация </w:t>
      </w:r>
      <w:r w:rsidRPr="0099166B">
        <w:rPr>
          <w:rFonts w:ascii="Times New Roman" w:hAnsi="Times New Roman" w:cs="Times New Roman"/>
          <w:sz w:val="24"/>
          <w:szCs w:val="24"/>
          <w:lang w:val="bg"/>
        </w:rPr>
        <w:t>за енергийните общности, което ги оставя в правна сива зона.</w:t>
      </w:r>
    </w:p>
    <w:p w:rsidR="0099166B" w:rsidRDefault="007906A8" w:rsidP="00B01311">
      <w:pPr>
        <w:pStyle w:val="ListParagraph"/>
        <w:numPr>
          <w:ilvl w:val="0"/>
          <w:numId w:val="54"/>
        </w:numPr>
        <w:spacing w:line="276" w:lineRule="auto"/>
        <w:jc w:val="both"/>
        <w:rPr>
          <w:rFonts w:ascii="Times New Roman" w:hAnsi="Times New Roman" w:cs="Times New Roman"/>
          <w:sz w:val="24"/>
          <w:szCs w:val="24"/>
          <w:lang w:val="bg"/>
        </w:rPr>
      </w:pPr>
      <w:r w:rsidRPr="0099166B">
        <w:rPr>
          <w:rFonts w:ascii="Times New Roman" w:hAnsi="Times New Roman" w:cs="Times New Roman"/>
          <w:b/>
          <w:bCs/>
          <w:sz w:val="24"/>
          <w:szCs w:val="24"/>
          <w:lang w:val="bg"/>
        </w:rPr>
        <w:t xml:space="preserve">Правилата за достъп до мрежата и измерване </w:t>
      </w:r>
      <w:r w:rsidRPr="0099166B">
        <w:rPr>
          <w:rFonts w:ascii="Times New Roman" w:hAnsi="Times New Roman" w:cs="Times New Roman"/>
          <w:sz w:val="24"/>
          <w:szCs w:val="24"/>
          <w:lang w:val="bg"/>
        </w:rPr>
        <w:t>не отчитат споделените инсталации, притежавани от общността, нито VNM</w:t>
      </w:r>
      <w:r w:rsidRPr="0099166B">
        <w:rPr>
          <w:rFonts w:ascii="Times New Roman" w:hAnsi="Times New Roman" w:cs="Times New Roman"/>
          <w:sz w:val="24"/>
          <w:szCs w:val="24"/>
          <w:lang w:val="bg-BG"/>
        </w:rPr>
        <w:t xml:space="preserve"> (виртуално нетно мерене)</w:t>
      </w:r>
      <w:r w:rsidRPr="0099166B">
        <w:rPr>
          <w:rFonts w:ascii="Times New Roman" w:hAnsi="Times New Roman" w:cs="Times New Roman"/>
          <w:sz w:val="24"/>
          <w:szCs w:val="24"/>
          <w:lang w:val="bg"/>
        </w:rPr>
        <w:t xml:space="preserve"> и виртуалните договорености за фактуриране</w:t>
      </w:r>
      <w:r w:rsidRPr="0099166B">
        <w:rPr>
          <w:rFonts w:ascii="Times New Roman" w:hAnsi="Times New Roman" w:cs="Times New Roman"/>
          <w:sz w:val="24"/>
          <w:szCs w:val="24"/>
          <w:lang w:val="bg-BG"/>
        </w:rPr>
        <w:t xml:space="preserve"> (</w:t>
      </w:r>
      <w:r w:rsidRPr="0099166B">
        <w:rPr>
          <w:rFonts w:ascii="Times New Roman" w:hAnsi="Times New Roman" w:cs="Times New Roman"/>
          <w:sz w:val="24"/>
          <w:szCs w:val="24"/>
        </w:rPr>
        <w:t>Virtual billing)</w:t>
      </w:r>
      <w:r w:rsidRPr="0099166B">
        <w:rPr>
          <w:rFonts w:ascii="Times New Roman" w:hAnsi="Times New Roman" w:cs="Times New Roman"/>
          <w:sz w:val="24"/>
          <w:szCs w:val="24"/>
          <w:lang w:val="bg"/>
        </w:rPr>
        <w:t>.</w:t>
      </w:r>
    </w:p>
    <w:p w:rsidR="0099166B" w:rsidRDefault="007906A8" w:rsidP="00B01311">
      <w:pPr>
        <w:pStyle w:val="ListParagraph"/>
        <w:numPr>
          <w:ilvl w:val="0"/>
          <w:numId w:val="54"/>
        </w:num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 xml:space="preserve">Енергийните общности </w:t>
      </w:r>
      <w:r w:rsidRPr="0099166B">
        <w:rPr>
          <w:rFonts w:ascii="Times New Roman" w:hAnsi="Times New Roman" w:cs="Times New Roman"/>
          <w:b/>
          <w:bCs/>
          <w:sz w:val="24"/>
          <w:szCs w:val="24"/>
          <w:lang w:val="bg"/>
        </w:rPr>
        <w:t xml:space="preserve">не са признати като отделни участници на пазара </w:t>
      </w:r>
      <w:r w:rsidRPr="0099166B">
        <w:rPr>
          <w:rFonts w:ascii="Times New Roman" w:hAnsi="Times New Roman" w:cs="Times New Roman"/>
          <w:sz w:val="24"/>
          <w:szCs w:val="24"/>
          <w:lang w:val="bg"/>
        </w:rPr>
        <w:t>в правилата за енергийния пазар, което прави неясно как те трябва да търгуват с електроенергия или да изпълняват отговорностите за балансиране.</w:t>
      </w:r>
    </w:p>
    <w:p w:rsidR="0099166B" w:rsidRDefault="007906A8" w:rsidP="00B01311">
      <w:pPr>
        <w:pStyle w:val="ListParagraph"/>
        <w:numPr>
          <w:ilvl w:val="0"/>
          <w:numId w:val="54"/>
        </w:num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 xml:space="preserve">Няма </w:t>
      </w:r>
      <w:r w:rsidRPr="0099166B">
        <w:rPr>
          <w:rFonts w:ascii="Times New Roman" w:hAnsi="Times New Roman" w:cs="Times New Roman"/>
          <w:b/>
          <w:bCs/>
          <w:sz w:val="24"/>
          <w:szCs w:val="24"/>
          <w:lang w:val="bg"/>
        </w:rPr>
        <w:t xml:space="preserve">установени протоколи за обмен на данни </w:t>
      </w:r>
      <w:r w:rsidRPr="0099166B">
        <w:rPr>
          <w:rFonts w:ascii="Times New Roman" w:hAnsi="Times New Roman" w:cs="Times New Roman"/>
          <w:sz w:val="24"/>
          <w:szCs w:val="24"/>
          <w:lang w:val="bg"/>
        </w:rPr>
        <w:t>между операторите на разпределителни системи и енергийните общности, което е от съществено значение за вътрешното споделяне на енергия и достъпа до проверени данни от измерването на динамичните профили на потреблението и производството.</w:t>
      </w:r>
    </w:p>
    <w:p w:rsidR="007906A8" w:rsidRDefault="007906A8" w:rsidP="00B01311">
      <w:pPr>
        <w:pStyle w:val="ListParagraph"/>
        <w:numPr>
          <w:ilvl w:val="0"/>
          <w:numId w:val="54"/>
        </w:numPr>
        <w:spacing w:line="276" w:lineRule="auto"/>
        <w:jc w:val="both"/>
        <w:rPr>
          <w:rFonts w:ascii="Times New Roman" w:hAnsi="Times New Roman" w:cs="Times New Roman"/>
          <w:sz w:val="24"/>
          <w:szCs w:val="24"/>
          <w:lang w:val="bg"/>
        </w:rPr>
      </w:pPr>
      <w:r w:rsidRPr="0099166B">
        <w:rPr>
          <w:rFonts w:ascii="Times New Roman" w:hAnsi="Times New Roman" w:cs="Times New Roman"/>
          <w:b/>
          <w:bCs/>
          <w:sz w:val="24"/>
          <w:szCs w:val="24"/>
          <w:lang w:val="bg"/>
        </w:rPr>
        <w:t>Настоящата рамка на България не включва VNM,</w:t>
      </w:r>
      <w:r w:rsidRPr="0099166B">
        <w:rPr>
          <w:rFonts w:ascii="Times New Roman" w:hAnsi="Times New Roman" w:cs="Times New Roman"/>
          <w:sz w:val="24"/>
          <w:szCs w:val="24"/>
          <w:lang w:val="bg"/>
        </w:rPr>
        <w:t xml:space="preserve"> </w:t>
      </w:r>
      <w:r w:rsidRPr="0099166B">
        <w:rPr>
          <w:rFonts w:ascii="Times New Roman" w:hAnsi="Times New Roman" w:cs="Times New Roman"/>
          <w:b/>
          <w:bCs/>
          <w:sz w:val="24"/>
          <w:szCs w:val="24"/>
          <w:lang w:val="bg"/>
        </w:rPr>
        <w:t xml:space="preserve">виртуално фактуриране или други механизми за компенсиране на </w:t>
      </w:r>
      <w:r w:rsidRPr="0099166B">
        <w:rPr>
          <w:rFonts w:ascii="Times New Roman" w:hAnsi="Times New Roman" w:cs="Times New Roman"/>
          <w:sz w:val="24"/>
          <w:szCs w:val="24"/>
          <w:lang w:val="bg"/>
        </w:rPr>
        <w:t>енергията, които са от решаващо значение за осигуряването на възможност за споделяне на енергия между съседни</w:t>
      </w:r>
      <w:r w:rsidRPr="0099166B">
        <w:rPr>
          <w:rFonts w:ascii="Times New Roman" w:hAnsi="Times New Roman" w:cs="Times New Roman"/>
          <w:sz w:val="24"/>
          <w:szCs w:val="24"/>
          <w:lang w:val="bg"/>
        </w:rPr>
        <w:softHyphen/>
      </w:r>
      <w:r w:rsidR="006F07C3">
        <w:rPr>
          <w:rFonts w:ascii="Times New Roman" w:hAnsi="Times New Roman" w:cs="Times New Roman"/>
          <w:sz w:val="24"/>
          <w:szCs w:val="24"/>
        </w:rPr>
        <w:t xml:space="preserve"> </w:t>
      </w:r>
      <w:r w:rsidRPr="0099166B">
        <w:rPr>
          <w:rFonts w:ascii="Times New Roman" w:hAnsi="Times New Roman" w:cs="Times New Roman"/>
          <w:sz w:val="24"/>
          <w:szCs w:val="24"/>
          <w:lang w:val="bg"/>
        </w:rPr>
        <w:t>обекти.</w:t>
      </w:r>
    </w:p>
    <w:p w:rsidR="0099166B" w:rsidRPr="0099166B" w:rsidRDefault="0099166B" w:rsidP="0099166B">
      <w:pPr>
        <w:pStyle w:val="ListParagraph"/>
        <w:spacing w:line="276" w:lineRule="auto"/>
        <w:jc w:val="both"/>
        <w:rPr>
          <w:rFonts w:ascii="Times New Roman" w:hAnsi="Times New Roman" w:cs="Times New Roman"/>
          <w:color w:val="009999"/>
          <w:sz w:val="28"/>
          <w:szCs w:val="28"/>
          <w:lang w:val="bg"/>
        </w:rPr>
      </w:pPr>
    </w:p>
    <w:p w:rsidR="007906A8" w:rsidRDefault="00BE3D24" w:rsidP="0099166B">
      <w:pPr>
        <w:pStyle w:val="Heading3"/>
        <w:rPr>
          <w:rFonts w:ascii="Times New Roman" w:hAnsi="Times New Roman" w:cs="Times New Roman"/>
          <w:color w:val="009999"/>
          <w:sz w:val="28"/>
          <w:szCs w:val="28"/>
          <w:lang w:val="bg"/>
        </w:rPr>
      </w:pPr>
      <w:bookmarkStart w:id="33" w:name="bookmark197"/>
      <w:bookmarkStart w:id="34" w:name="bookmark196"/>
      <w:bookmarkStart w:id="35" w:name="_Toc203141260"/>
      <w:r>
        <w:rPr>
          <w:rFonts w:ascii="Times New Roman" w:hAnsi="Times New Roman" w:cs="Times New Roman"/>
          <w:color w:val="009999"/>
          <w:sz w:val="28"/>
          <w:szCs w:val="28"/>
          <w:lang w:val="bg"/>
        </w:rPr>
        <w:t>3</w:t>
      </w:r>
      <w:r w:rsidR="0099166B" w:rsidRPr="0099166B">
        <w:rPr>
          <w:rFonts w:ascii="Times New Roman" w:hAnsi="Times New Roman" w:cs="Times New Roman"/>
          <w:color w:val="009999"/>
          <w:sz w:val="28"/>
          <w:szCs w:val="28"/>
          <w:lang w:val="bg"/>
        </w:rPr>
        <w:t xml:space="preserve">.1.3 </w:t>
      </w:r>
      <w:r w:rsidR="007906A8" w:rsidRPr="0099166B">
        <w:rPr>
          <w:rFonts w:ascii="Times New Roman" w:hAnsi="Times New Roman" w:cs="Times New Roman"/>
          <w:color w:val="009999"/>
          <w:sz w:val="28"/>
          <w:szCs w:val="28"/>
          <w:lang w:val="bg"/>
        </w:rPr>
        <w:t>Институционална рамка и ключови участници</w:t>
      </w:r>
      <w:bookmarkEnd w:id="33"/>
      <w:bookmarkEnd w:id="34"/>
      <w:bookmarkEnd w:id="35"/>
    </w:p>
    <w:p w:rsidR="00082BFC" w:rsidRPr="00082BFC" w:rsidRDefault="00082BFC" w:rsidP="00082BFC">
      <w:pPr>
        <w:rPr>
          <w:lang w:val="bg"/>
        </w:rPr>
      </w:pP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Няколко институции играят решаваща роля в оформянето на регулаторната среда за енергийните общности в България и ще бъдат от значение за преодоляване на установените пропуски:</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b/>
          <w:sz w:val="24"/>
          <w:szCs w:val="24"/>
          <w:lang w:val="bg"/>
        </w:rPr>
        <w:lastRenderedPageBreak/>
        <w:t>Народното</w:t>
      </w:r>
      <w:r w:rsidRPr="0099166B">
        <w:rPr>
          <w:rFonts w:ascii="Times New Roman" w:hAnsi="Times New Roman" w:cs="Times New Roman"/>
          <w:sz w:val="24"/>
          <w:szCs w:val="24"/>
          <w:lang w:val="bg"/>
        </w:rPr>
        <w:t xml:space="preserve"> </w:t>
      </w:r>
      <w:r w:rsidRPr="0099166B">
        <w:rPr>
          <w:rFonts w:ascii="Times New Roman" w:hAnsi="Times New Roman" w:cs="Times New Roman"/>
          <w:b/>
          <w:bCs/>
          <w:sz w:val="24"/>
          <w:szCs w:val="24"/>
          <w:lang w:val="bg"/>
        </w:rPr>
        <w:t xml:space="preserve">събрание на Република България (парламентът) </w:t>
      </w:r>
      <w:r w:rsidRPr="0099166B">
        <w:rPr>
          <w:rFonts w:ascii="Times New Roman" w:hAnsi="Times New Roman" w:cs="Times New Roman"/>
          <w:sz w:val="24"/>
          <w:szCs w:val="24"/>
          <w:lang w:val="bg"/>
        </w:rPr>
        <w:t xml:space="preserve">е основният законодател, отговорен за приемането, изменението и одобряването на всички закони, свързани с енергетиката, включително Закона за енергетиката и Закона за възобновяемите енергийни източници. </w:t>
      </w:r>
      <w:r w:rsidRPr="0099166B">
        <w:rPr>
          <w:rFonts w:ascii="Times New Roman" w:hAnsi="Times New Roman" w:cs="Times New Roman"/>
          <w:b/>
          <w:bCs/>
          <w:sz w:val="24"/>
          <w:szCs w:val="24"/>
          <w:lang w:val="bg"/>
        </w:rPr>
        <w:t xml:space="preserve">Комисията по енергетика </w:t>
      </w:r>
      <w:r w:rsidRPr="0099166B">
        <w:rPr>
          <w:rFonts w:ascii="Times New Roman" w:hAnsi="Times New Roman" w:cs="Times New Roman"/>
          <w:sz w:val="24"/>
          <w:szCs w:val="24"/>
          <w:lang w:val="bg"/>
        </w:rPr>
        <w:t>на Парламента играе централна роля при прегледа и предлагането на правни промени, свързани с енергията от възобновяеми източници, енергийните общности и регулаторната рамка за произвеждащите потребители. Успехът на новите политики за подкрепа на енергийните общности, включително въвеждането на VNM или подобрени правила за достъп до мрежата, в крайна сметка зависи от одобрението на Парламента.</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b/>
          <w:sz w:val="24"/>
          <w:szCs w:val="24"/>
          <w:lang w:val="bg"/>
        </w:rPr>
        <w:t>Министерството</w:t>
      </w:r>
      <w:r w:rsidRPr="0099166B">
        <w:rPr>
          <w:rFonts w:ascii="Times New Roman" w:hAnsi="Times New Roman" w:cs="Times New Roman"/>
          <w:sz w:val="24"/>
          <w:szCs w:val="24"/>
          <w:lang w:val="bg"/>
        </w:rPr>
        <w:t xml:space="preserve"> </w:t>
      </w:r>
      <w:r w:rsidRPr="0099166B">
        <w:rPr>
          <w:rFonts w:ascii="Times New Roman" w:hAnsi="Times New Roman" w:cs="Times New Roman"/>
          <w:b/>
          <w:bCs/>
          <w:sz w:val="24"/>
          <w:szCs w:val="24"/>
          <w:lang w:val="bg"/>
        </w:rPr>
        <w:t>на енергетиката</w:t>
      </w:r>
      <w:r w:rsidRPr="0099166B">
        <w:rPr>
          <w:rFonts w:ascii="Times New Roman" w:hAnsi="Times New Roman" w:cs="Times New Roman"/>
          <w:sz w:val="24"/>
          <w:szCs w:val="24"/>
          <w:lang w:val="bg"/>
        </w:rPr>
        <w:t xml:space="preserve"> отговаря за разработването на политики и законодателни предложения, свързани с енергийния сектор. Той изготвя изменения в Закона за енергетиката, Закона за ВЕИ и други ключови закони и се координира с парламента, за да се гарантира привеждането в съответствие с Националния план в областта на енергетиката и климата (НПЕК) на България и директивите на ЕС.</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b/>
          <w:bCs/>
          <w:sz w:val="24"/>
          <w:szCs w:val="24"/>
          <w:lang w:val="bg"/>
        </w:rPr>
        <w:t xml:space="preserve">Комисията за енергийно и водно регулиране (КЕВР) </w:t>
      </w:r>
      <w:r w:rsidRPr="0099166B">
        <w:rPr>
          <w:rFonts w:ascii="Times New Roman" w:hAnsi="Times New Roman" w:cs="Times New Roman"/>
          <w:sz w:val="24"/>
          <w:szCs w:val="24"/>
          <w:lang w:val="bg"/>
        </w:rPr>
        <w:t>е националният енергиен регулатор. Тя отговаря за определянето на тарифите, одобряването на пазарните правила, издаването на лицензи и надзора върху дейността на операторите на преносни системи (ОПС) и операторите на разпределителни системи (ОРС). Въпреки че Законът за енергетиката официално признава енергийните общности, КЕВР все още трябва да включи специфични процедури за тях в пазарните правила, правилата за измерване и разпоредбите за достъп до мрежата.</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sz w:val="24"/>
          <w:szCs w:val="24"/>
          <w:lang w:val="bg"/>
        </w:rPr>
        <w:t xml:space="preserve"> </w:t>
      </w:r>
      <w:r w:rsidRPr="0099166B">
        <w:rPr>
          <w:rFonts w:ascii="Times New Roman" w:hAnsi="Times New Roman" w:cs="Times New Roman"/>
          <w:b/>
          <w:bCs/>
          <w:sz w:val="24"/>
          <w:szCs w:val="24"/>
          <w:lang w:val="bg"/>
        </w:rPr>
        <w:t xml:space="preserve">Агенцията за устойчиво енергийно развитие (АУЕР) </w:t>
      </w:r>
      <w:r w:rsidRPr="0099166B">
        <w:rPr>
          <w:rFonts w:ascii="Times New Roman" w:hAnsi="Times New Roman" w:cs="Times New Roman"/>
          <w:sz w:val="24"/>
          <w:szCs w:val="24"/>
          <w:lang w:val="bg"/>
        </w:rPr>
        <w:t>(www.seea.government.bg</w:t>
      </w:r>
      <w:hyperlink r:id="rId23" w:history="1"/>
      <w:r w:rsidRPr="0099166B">
        <w:rPr>
          <w:rFonts w:ascii="Times New Roman" w:hAnsi="Times New Roman" w:cs="Times New Roman"/>
          <w:sz w:val="24"/>
          <w:szCs w:val="24"/>
          <w:lang w:val="bg"/>
        </w:rPr>
        <w:t>) подкрепя проекти за развитие на възобновяема енергия и енергийна ефективност. АУЕР би могла да играе бъдеща роля при регистрирането и предоставянето на техническа и административна подкрепа на енергийните общности, като действа като фокусна точка за събиране на данни, мониторинг и насърчаване на ръководени от общностите енергийни проекти.</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b/>
          <w:bCs/>
          <w:sz w:val="24"/>
          <w:szCs w:val="24"/>
          <w:lang w:val="bg"/>
        </w:rPr>
        <w:t>Електроенергийният системен оператор (ЕСО)</w:t>
      </w:r>
      <w:r w:rsidRPr="0099166B">
        <w:rPr>
          <w:rFonts w:ascii="Times New Roman" w:hAnsi="Times New Roman" w:cs="Times New Roman"/>
          <w:sz w:val="24"/>
          <w:szCs w:val="24"/>
          <w:lang w:val="bg"/>
        </w:rPr>
        <w:t xml:space="preserve"> управлява преносната мрежа на България и отговаря за балансирането на системата. ЕСО ще трябва да адаптира своите процеси на балансиране и прогнозиране, за да приспособи енергийните общности, след като станат активни участници на пазара, особено в случаите, когато общностите предлагат агрегирани услуги за гъвкавост.</w:t>
      </w:r>
    </w:p>
    <w:p w:rsidR="007906A8" w:rsidRPr="0099166B" w:rsidRDefault="007906A8" w:rsidP="0099166B">
      <w:pPr>
        <w:spacing w:line="276" w:lineRule="auto"/>
        <w:jc w:val="both"/>
        <w:rPr>
          <w:rFonts w:ascii="Times New Roman" w:hAnsi="Times New Roman" w:cs="Times New Roman"/>
          <w:sz w:val="24"/>
          <w:szCs w:val="24"/>
          <w:lang w:val="bg"/>
        </w:rPr>
      </w:pPr>
      <w:r w:rsidRPr="0099166B">
        <w:rPr>
          <w:rFonts w:ascii="Times New Roman" w:hAnsi="Times New Roman" w:cs="Times New Roman"/>
          <w:b/>
          <w:sz w:val="24"/>
          <w:szCs w:val="24"/>
          <w:lang w:val="bg"/>
        </w:rPr>
        <w:t>ОРС</w:t>
      </w:r>
      <w:r w:rsidRPr="0099166B">
        <w:rPr>
          <w:rFonts w:ascii="Times New Roman" w:hAnsi="Times New Roman" w:cs="Times New Roman"/>
          <w:sz w:val="24"/>
          <w:szCs w:val="24"/>
          <w:lang w:val="bg"/>
        </w:rPr>
        <w:t xml:space="preserve"> </w:t>
      </w:r>
      <w:r w:rsidRPr="0099166B">
        <w:rPr>
          <w:rFonts w:ascii="Times New Roman" w:hAnsi="Times New Roman" w:cs="Times New Roman"/>
          <w:b/>
          <w:bCs/>
          <w:sz w:val="24"/>
          <w:szCs w:val="24"/>
          <w:lang w:val="bg"/>
        </w:rPr>
        <w:t xml:space="preserve">отговарят </w:t>
      </w:r>
      <w:r w:rsidRPr="0099166B">
        <w:rPr>
          <w:rFonts w:ascii="Times New Roman" w:hAnsi="Times New Roman" w:cs="Times New Roman"/>
          <w:sz w:val="24"/>
          <w:szCs w:val="24"/>
          <w:lang w:val="bg"/>
        </w:rPr>
        <w:t>за управлението на регионалните разпределителни мрежи, включително за свързването на нови производствени мощности, като например инсталации на произвеждащи потребители и общински проекти за енергия от възобновяеми източници. Важно е да се отбележи, че операторите на разпределителни системи носят изключителна отговорност за измерването на енергийните потоци, включително инсталирането, експлоатацията и управлението на данните от инфраструктурата за интелигентно измерване. Това включва регистриране както на енергията, подадена в мрежата от произвеждащите потребители и общностите, така и на енергията, изтеглена за потребление. Ефективното участие на енергийните общности, особено във VNM и колективното собствено потребление, разчита до голяма степен на операторите на разпределителни системи, които гарантират точни, прозрачни и достъпни данни от измерването.</w:t>
      </w:r>
    </w:p>
    <w:p w:rsidR="007906A8" w:rsidRPr="006F07C3" w:rsidRDefault="007906A8" w:rsidP="001D4F8B">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lastRenderedPageBreak/>
        <w:t>Трите основни ОРС в България са:</w:t>
      </w:r>
    </w:p>
    <w:p w:rsidR="0099166B" w:rsidRPr="006F07C3" w:rsidRDefault="007906A8" w:rsidP="00B01311">
      <w:pPr>
        <w:pStyle w:val="ListParagraph"/>
        <w:numPr>
          <w:ilvl w:val="0"/>
          <w:numId w:val="55"/>
        </w:numPr>
        <w:spacing w:line="276" w:lineRule="auto"/>
        <w:jc w:val="both"/>
        <w:rPr>
          <w:rFonts w:ascii="Times New Roman" w:hAnsi="Times New Roman" w:cs="Times New Roman"/>
          <w:sz w:val="24"/>
          <w:szCs w:val="24"/>
          <w:lang w:val="bg"/>
        </w:rPr>
      </w:pPr>
      <w:r w:rsidRPr="006F07C3">
        <w:rPr>
          <w:rFonts w:ascii="Times New Roman" w:hAnsi="Times New Roman" w:cs="Times New Roman"/>
          <w:bCs/>
          <w:sz w:val="24"/>
          <w:szCs w:val="24"/>
          <w:lang w:val="bg"/>
        </w:rPr>
        <w:t xml:space="preserve">ЕВН България - Електроразпределение Юг </w:t>
      </w:r>
    </w:p>
    <w:p w:rsidR="0099166B" w:rsidRPr="006F07C3" w:rsidRDefault="007906A8" w:rsidP="00B01311">
      <w:pPr>
        <w:pStyle w:val="ListParagraph"/>
        <w:numPr>
          <w:ilvl w:val="0"/>
          <w:numId w:val="55"/>
        </w:numPr>
        <w:spacing w:line="276" w:lineRule="auto"/>
        <w:jc w:val="both"/>
        <w:rPr>
          <w:rFonts w:ascii="Times New Roman" w:hAnsi="Times New Roman" w:cs="Times New Roman"/>
          <w:sz w:val="24"/>
          <w:szCs w:val="24"/>
          <w:lang w:val="bg"/>
        </w:rPr>
      </w:pPr>
      <w:r w:rsidRPr="006F07C3">
        <w:rPr>
          <w:rFonts w:ascii="Times New Roman" w:hAnsi="Times New Roman" w:cs="Times New Roman"/>
          <w:bCs/>
          <w:sz w:val="24"/>
          <w:szCs w:val="24"/>
          <w:lang w:val="bg-BG"/>
        </w:rPr>
        <w:t>Електрохолд</w:t>
      </w:r>
      <w:r w:rsidRPr="006F07C3">
        <w:rPr>
          <w:rFonts w:ascii="Times New Roman" w:hAnsi="Times New Roman" w:cs="Times New Roman"/>
          <w:bCs/>
          <w:sz w:val="24"/>
          <w:szCs w:val="24"/>
          <w:lang w:val="bg"/>
        </w:rPr>
        <w:t xml:space="preserve"> (преди CEZ) </w:t>
      </w:r>
      <w:r w:rsidRPr="006F07C3">
        <w:rPr>
          <w:rFonts w:ascii="Times New Roman" w:hAnsi="Times New Roman" w:cs="Times New Roman"/>
          <w:sz w:val="24"/>
          <w:szCs w:val="24"/>
          <w:lang w:val="bg"/>
        </w:rPr>
        <w:t>- ЕРМ Запад (ERM Zapad)</w:t>
      </w:r>
    </w:p>
    <w:p w:rsidR="007906A8" w:rsidRPr="006F07C3" w:rsidRDefault="007906A8" w:rsidP="00B01311">
      <w:pPr>
        <w:pStyle w:val="ListParagraph"/>
        <w:numPr>
          <w:ilvl w:val="0"/>
          <w:numId w:val="55"/>
        </w:numPr>
        <w:spacing w:line="276" w:lineRule="auto"/>
        <w:jc w:val="both"/>
        <w:rPr>
          <w:rFonts w:ascii="Times New Roman" w:hAnsi="Times New Roman" w:cs="Times New Roman"/>
          <w:sz w:val="24"/>
          <w:szCs w:val="24"/>
          <w:lang w:val="bg"/>
        </w:rPr>
      </w:pPr>
      <w:r w:rsidRPr="006F07C3">
        <w:rPr>
          <w:rFonts w:ascii="Times New Roman" w:hAnsi="Times New Roman" w:cs="Times New Roman"/>
          <w:bCs/>
          <w:sz w:val="24"/>
          <w:szCs w:val="24"/>
          <w:lang w:val="bg"/>
        </w:rPr>
        <w:t xml:space="preserve">Енерго-Про </w:t>
      </w:r>
      <w:r w:rsidRPr="006F07C3">
        <w:rPr>
          <w:rFonts w:ascii="Times New Roman" w:hAnsi="Times New Roman" w:cs="Times New Roman"/>
          <w:sz w:val="24"/>
          <w:szCs w:val="24"/>
          <w:lang w:val="bg"/>
        </w:rPr>
        <w:t xml:space="preserve">- </w:t>
      </w:r>
      <w:r w:rsidRPr="006F07C3">
        <w:rPr>
          <w:rFonts w:ascii="Times New Roman" w:hAnsi="Times New Roman" w:cs="Times New Roman"/>
          <w:bCs/>
          <w:sz w:val="24"/>
          <w:szCs w:val="24"/>
          <w:lang w:val="bg"/>
        </w:rPr>
        <w:t xml:space="preserve">Електроразпределение Север </w:t>
      </w:r>
    </w:p>
    <w:p w:rsidR="004B2301" w:rsidRDefault="004B2301" w:rsidP="0099166B">
      <w:pPr>
        <w:spacing w:line="276" w:lineRule="auto"/>
        <w:jc w:val="both"/>
        <w:rPr>
          <w:rFonts w:ascii="Times New Roman" w:hAnsi="Times New Roman" w:cs="Times New Roman"/>
          <w:i/>
          <w:iCs/>
          <w:color w:val="009999"/>
          <w:sz w:val="32"/>
          <w:szCs w:val="32"/>
          <w:lang w:val="bg"/>
        </w:rPr>
      </w:pPr>
    </w:p>
    <w:p w:rsidR="007906A8" w:rsidRDefault="007906A8" w:rsidP="0099166B">
      <w:pPr>
        <w:spacing w:line="276" w:lineRule="auto"/>
        <w:jc w:val="both"/>
        <w:rPr>
          <w:rFonts w:ascii="Times New Roman" w:hAnsi="Times New Roman" w:cs="Times New Roman"/>
          <w:i/>
          <w:iCs/>
          <w:color w:val="009999"/>
          <w:sz w:val="32"/>
          <w:szCs w:val="32"/>
          <w:lang w:val="bg"/>
        </w:rPr>
      </w:pPr>
      <w:r w:rsidRPr="001D4F8B">
        <w:rPr>
          <w:rFonts w:ascii="Times New Roman" w:hAnsi="Times New Roman" w:cs="Times New Roman"/>
          <w:i/>
          <w:iCs/>
          <w:color w:val="009999"/>
          <w:sz w:val="32"/>
          <w:szCs w:val="32"/>
          <w:lang w:val="bg"/>
        </w:rPr>
        <w:t>ОРС отговарят за управлението на регионалните разпределителни мрежи, включително за свързването на нови производствени мощности, като например инсталации на произвеждащи потребители и общински проекти за енергия от възобновяеми източници.</w:t>
      </w:r>
    </w:p>
    <w:p w:rsidR="001D4F8B" w:rsidRDefault="001D4F8B" w:rsidP="0099166B">
      <w:pPr>
        <w:spacing w:line="276" w:lineRule="auto"/>
        <w:jc w:val="both"/>
        <w:rPr>
          <w:rFonts w:ascii="Times New Roman" w:hAnsi="Times New Roman" w:cs="Times New Roman"/>
          <w:i/>
          <w:iCs/>
          <w:color w:val="009999"/>
          <w:sz w:val="32"/>
          <w:szCs w:val="32"/>
          <w:lang w:val="bg"/>
        </w:rPr>
      </w:pPr>
    </w:p>
    <w:p w:rsidR="001D4F8B" w:rsidRPr="001D4F8B" w:rsidRDefault="001D4F8B" w:rsidP="0099166B">
      <w:pPr>
        <w:spacing w:line="276" w:lineRule="auto"/>
        <w:jc w:val="both"/>
        <w:rPr>
          <w:rFonts w:ascii="Times New Roman" w:hAnsi="Times New Roman" w:cs="Times New Roman"/>
          <w:color w:val="009999"/>
          <w:sz w:val="32"/>
          <w:szCs w:val="32"/>
          <w:lang w:val="bg"/>
        </w:rPr>
      </w:pPr>
    </w:p>
    <w:p w:rsidR="007906A8" w:rsidRPr="00BE3D24" w:rsidRDefault="007906A8" w:rsidP="00B01311">
      <w:pPr>
        <w:pStyle w:val="ListParagraph"/>
        <w:numPr>
          <w:ilvl w:val="2"/>
          <w:numId w:val="185"/>
        </w:numPr>
        <w:rPr>
          <w:rFonts w:ascii="Times New Roman" w:hAnsi="Times New Roman" w:cs="Times New Roman"/>
          <w:color w:val="009999"/>
          <w:sz w:val="28"/>
          <w:szCs w:val="28"/>
          <w:lang w:val="bg"/>
        </w:rPr>
      </w:pPr>
      <w:bookmarkStart w:id="36" w:name="bookmark200"/>
      <w:bookmarkStart w:id="37" w:name="bookmark199"/>
      <w:r w:rsidRPr="00BE3D24">
        <w:rPr>
          <w:rFonts w:ascii="Times New Roman" w:hAnsi="Times New Roman" w:cs="Times New Roman"/>
          <w:color w:val="009999"/>
          <w:sz w:val="28"/>
          <w:szCs w:val="28"/>
          <w:lang w:val="bg"/>
        </w:rPr>
        <w:t>Ролята на търговците на енергия и доставчиците на агрегирани услуги</w:t>
      </w:r>
      <w:bookmarkEnd w:id="36"/>
      <w:bookmarkEnd w:id="37"/>
    </w:p>
    <w:p w:rsidR="007906A8" w:rsidRPr="001D4F8B" w:rsidRDefault="007906A8" w:rsidP="001D4F8B">
      <w:pPr>
        <w:spacing w:line="276" w:lineRule="auto"/>
        <w:jc w:val="both"/>
        <w:rPr>
          <w:rFonts w:ascii="Times New Roman" w:hAnsi="Times New Roman" w:cs="Times New Roman"/>
          <w:sz w:val="24"/>
          <w:szCs w:val="24"/>
          <w:lang w:val="bg"/>
        </w:rPr>
      </w:pPr>
      <w:r w:rsidRPr="001D4F8B">
        <w:rPr>
          <w:rFonts w:ascii="Times New Roman" w:hAnsi="Times New Roman" w:cs="Times New Roman"/>
          <w:sz w:val="24"/>
          <w:szCs w:val="24"/>
          <w:lang w:val="bg"/>
        </w:rPr>
        <w:t>Търговците на енергия и доставчиците на агрегирани услуги имат потенциала да играят ключова роля за създаване на възможности за енергийните общности, особено при липсата на всеобхватна регулаторна рамка. На практика първите нововъзникващи енергийни общности в България се формират чрез двустранни споразумения и пакети от услуги, предлагани от търговци на енергия, които помагат на произвеждащите потребители и общностните групи:</w:t>
      </w:r>
    </w:p>
    <w:p w:rsidR="001D4F8B" w:rsidRDefault="007906A8" w:rsidP="00B01311">
      <w:pPr>
        <w:pStyle w:val="ListParagraph"/>
        <w:numPr>
          <w:ilvl w:val="0"/>
          <w:numId w:val="56"/>
        </w:numPr>
        <w:spacing w:line="276" w:lineRule="auto"/>
        <w:jc w:val="both"/>
        <w:rPr>
          <w:rFonts w:ascii="Times New Roman" w:hAnsi="Times New Roman" w:cs="Times New Roman"/>
          <w:sz w:val="24"/>
          <w:szCs w:val="24"/>
          <w:lang w:val="bg"/>
        </w:rPr>
      </w:pPr>
      <w:r w:rsidRPr="001D4F8B">
        <w:rPr>
          <w:rFonts w:ascii="Times New Roman" w:hAnsi="Times New Roman" w:cs="Times New Roman"/>
          <w:b/>
          <w:bCs/>
          <w:sz w:val="24"/>
          <w:szCs w:val="24"/>
          <w:lang w:val="bg"/>
        </w:rPr>
        <w:t xml:space="preserve">Пакетиране и продажба на излишъка от производство на енергия от възобновяеми източници </w:t>
      </w:r>
      <w:r w:rsidRPr="001D4F8B">
        <w:rPr>
          <w:rFonts w:ascii="Times New Roman" w:hAnsi="Times New Roman" w:cs="Times New Roman"/>
          <w:sz w:val="24"/>
          <w:szCs w:val="24"/>
          <w:lang w:val="bg"/>
        </w:rPr>
        <w:t>на пазара на едро.</w:t>
      </w:r>
    </w:p>
    <w:p w:rsidR="001D4F8B" w:rsidRDefault="007906A8" w:rsidP="00B01311">
      <w:pPr>
        <w:pStyle w:val="ListParagraph"/>
        <w:numPr>
          <w:ilvl w:val="0"/>
          <w:numId w:val="56"/>
        </w:numPr>
        <w:spacing w:line="276" w:lineRule="auto"/>
        <w:jc w:val="both"/>
        <w:rPr>
          <w:rFonts w:ascii="Times New Roman" w:hAnsi="Times New Roman" w:cs="Times New Roman"/>
          <w:sz w:val="24"/>
          <w:szCs w:val="24"/>
          <w:lang w:val="bg"/>
        </w:rPr>
      </w:pPr>
      <w:r w:rsidRPr="001D4F8B">
        <w:rPr>
          <w:rFonts w:ascii="Times New Roman" w:hAnsi="Times New Roman" w:cs="Times New Roman"/>
          <w:b/>
          <w:bCs/>
          <w:sz w:val="24"/>
          <w:szCs w:val="24"/>
          <w:lang w:val="bg"/>
        </w:rPr>
        <w:t>Уреждане на балансиращи услуги</w:t>
      </w:r>
      <w:r w:rsidRPr="001D4F8B">
        <w:rPr>
          <w:rFonts w:ascii="Times New Roman" w:hAnsi="Times New Roman" w:cs="Times New Roman"/>
          <w:sz w:val="24"/>
          <w:szCs w:val="24"/>
          <w:lang w:val="bg"/>
        </w:rPr>
        <w:t xml:space="preserve"> — правно задължение за всички участници на пазара, включително произвеждащите потребители.</w:t>
      </w:r>
    </w:p>
    <w:p w:rsidR="001D4F8B" w:rsidRDefault="007906A8" w:rsidP="00B01311">
      <w:pPr>
        <w:pStyle w:val="ListParagraph"/>
        <w:numPr>
          <w:ilvl w:val="0"/>
          <w:numId w:val="56"/>
        </w:numPr>
        <w:spacing w:line="276" w:lineRule="auto"/>
        <w:jc w:val="both"/>
        <w:rPr>
          <w:rFonts w:ascii="Times New Roman" w:hAnsi="Times New Roman" w:cs="Times New Roman"/>
          <w:sz w:val="24"/>
          <w:szCs w:val="24"/>
          <w:lang w:val="bg"/>
        </w:rPr>
      </w:pPr>
      <w:r w:rsidRPr="001D4F8B">
        <w:rPr>
          <w:rFonts w:ascii="Times New Roman" w:hAnsi="Times New Roman" w:cs="Times New Roman"/>
          <w:b/>
          <w:bCs/>
          <w:sz w:val="24"/>
          <w:szCs w:val="24"/>
          <w:lang w:val="bg"/>
        </w:rPr>
        <w:t>Предлагане на административна подкрепа и подкрепа за достъпа до пазара,</w:t>
      </w:r>
      <w:r w:rsidRPr="001D4F8B">
        <w:rPr>
          <w:rFonts w:ascii="Times New Roman" w:hAnsi="Times New Roman" w:cs="Times New Roman"/>
          <w:sz w:val="24"/>
          <w:szCs w:val="24"/>
          <w:lang w:val="bg"/>
        </w:rPr>
        <w:t xml:space="preserve"> включително насоки относно споразуменията за закупуване на електроенергия (СЗЕ) и споразуменията за собствено снабдяване.</w:t>
      </w:r>
    </w:p>
    <w:p w:rsidR="007906A8" w:rsidRDefault="007906A8" w:rsidP="00B01311">
      <w:pPr>
        <w:pStyle w:val="ListParagraph"/>
        <w:numPr>
          <w:ilvl w:val="0"/>
          <w:numId w:val="56"/>
        </w:numPr>
        <w:spacing w:line="276" w:lineRule="auto"/>
        <w:jc w:val="both"/>
        <w:rPr>
          <w:rFonts w:ascii="Times New Roman" w:hAnsi="Times New Roman" w:cs="Times New Roman"/>
          <w:sz w:val="24"/>
          <w:szCs w:val="24"/>
          <w:lang w:val="bg"/>
        </w:rPr>
      </w:pPr>
      <w:r w:rsidRPr="001D4F8B">
        <w:rPr>
          <w:rFonts w:ascii="Times New Roman" w:hAnsi="Times New Roman" w:cs="Times New Roman"/>
          <w:b/>
          <w:bCs/>
          <w:sz w:val="24"/>
          <w:szCs w:val="24"/>
          <w:lang w:val="bg"/>
        </w:rPr>
        <w:t>Действат като посредници,</w:t>
      </w:r>
      <w:r w:rsidRPr="001D4F8B">
        <w:rPr>
          <w:rFonts w:ascii="Times New Roman" w:hAnsi="Times New Roman" w:cs="Times New Roman"/>
          <w:sz w:val="24"/>
          <w:szCs w:val="24"/>
          <w:lang w:val="bg"/>
        </w:rPr>
        <w:t xml:space="preserve"> като помагат на енергийните общности да се ориентират в сложността на свързването към мрежата, управлението на данните и процесите на фактуриране.</w:t>
      </w:r>
    </w:p>
    <w:p w:rsidR="001D4F8B" w:rsidRPr="001D4F8B" w:rsidRDefault="001D4F8B" w:rsidP="001D4F8B">
      <w:pPr>
        <w:pStyle w:val="ListParagraph"/>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85"/>
        </w:numPr>
        <w:rPr>
          <w:rFonts w:ascii="Times New Roman" w:hAnsi="Times New Roman" w:cs="Times New Roman"/>
          <w:color w:val="009999"/>
          <w:sz w:val="28"/>
          <w:szCs w:val="28"/>
          <w:lang w:val="bg"/>
        </w:rPr>
      </w:pPr>
      <w:bookmarkStart w:id="38" w:name="bookmark203"/>
      <w:bookmarkStart w:id="39" w:name="bookmark202"/>
      <w:bookmarkStart w:id="40" w:name="_Toc203141261"/>
      <w:r w:rsidRPr="001D4F8B">
        <w:rPr>
          <w:rFonts w:ascii="Times New Roman" w:hAnsi="Times New Roman" w:cs="Times New Roman"/>
          <w:color w:val="009999"/>
          <w:sz w:val="28"/>
          <w:szCs w:val="28"/>
          <w:lang w:val="bg"/>
        </w:rPr>
        <w:t>Енергийни общности съгласно българското законодателство</w:t>
      </w:r>
      <w:bookmarkEnd w:id="38"/>
      <w:bookmarkEnd w:id="39"/>
      <w:bookmarkEnd w:id="40"/>
    </w:p>
    <w:p w:rsidR="00082BFC" w:rsidRPr="00082BFC" w:rsidRDefault="00082BFC" w:rsidP="00082BFC">
      <w:pPr>
        <w:pStyle w:val="ListParagraph"/>
        <w:rPr>
          <w:lang w:val="bg"/>
        </w:rPr>
      </w:pPr>
    </w:p>
    <w:p w:rsidR="007906A8" w:rsidRPr="001D4F8B" w:rsidRDefault="007906A8" w:rsidP="001D4F8B">
      <w:pPr>
        <w:spacing w:line="276" w:lineRule="auto"/>
        <w:jc w:val="both"/>
        <w:rPr>
          <w:rFonts w:ascii="Times New Roman" w:hAnsi="Times New Roman" w:cs="Times New Roman"/>
          <w:sz w:val="24"/>
          <w:szCs w:val="24"/>
          <w:lang w:val="bg"/>
        </w:rPr>
      </w:pPr>
      <w:r w:rsidRPr="001D4F8B">
        <w:rPr>
          <w:rFonts w:ascii="Times New Roman" w:hAnsi="Times New Roman" w:cs="Times New Roman"/>
          <w:sz w:val="24"/>
          <w:szCs w:val="24"/>
          <w:lang w:val="bg"/>
        </w:rPr>
        <w:t xml:space="preserve">България признава </w:t>
      </w:r>
      <w:r w:rsidRPr="001D4F8B">
        <w:rPr>
          <w:rFonts w:ascii="Times New Roman" w:hAnsi="Times New Roman" w:cs="Times New Roman"/>
          <w:b/>
          <w:bCs/>
          <w:sz w:val="24"/>
          <w:szCs w:val="24"/>
          <w:lang w:val="bg"/>
        </w:rPr>
        <w:t xml:space="preserve">два вида енергийни общности </w:t>
      </w:r>
      <w:r w:rsidRPr="001D4F8B">
        <w:rPr>
          <w:rFonts w:ascii="Times New Roman" w:hAnsi="Times New Roman" w:cs="Times New Roman"/>
          <w:sz w:val="24"/>
          <w:szCs w:val="24"/>
          <w:lang w:val="bg"/>
        </w:rPr>
        <w:t xml:space="preserve">съгласно националното законодателство: </w:t>
      </w:r>
      <w:r w:rsidRPr="001D4F8B">
        <w:rPr>
          <w:rFonts w:ascii="Times New Roman" w:hAnsi="Times New Roman" w:cs="Times New Roman"/>
          <w:sz w:val="24"/>
          <w:szCs w:val="24"/>
        </w:rPr>
        <w:t xml:space="preserve">CEC </w:t>
      </w:r>
      <w:r w:rsidRPr="001D4F8B">
        <w:rPr>
          <w:rFonts w:ascii="Times New Roman" w:hAnsi="Times New Roman" w:cs="Times New Roman"/>
          <w:sz w:val="24"/>
          <w:szCs w:val="24"/>
          <w:lang w:val="bg"/>
        </w:rPr>
        <w:t xml:space="preserve"> по Закона за енергията от възобновяеми източници (ЗЕВИ) и </w:t>
      </w:r>
      <w:r w:rsidRPr="001D4F8B">
        <w:rPr>
          <w:rFonts w:ascii="Times New Roman" w:hAnsi="Times New Roman" w:cs="Times New Roman"/>
          <w:sz w:val="24"/>
          <w:szCs w:val="24"/>
        </w:rPr>
        <w:t>CEC</w:t>
      </w:r>
      <w:r w:rsidRPr="001D4F8B">
        <w:rPr>
          <w:rFonts w:ascii="Times New Roman" w:hAnsi="Times New Roman" w:cs="Times New Roman"/>
          <w:sz w:val="24"/>
          <w:szCs w:val="24"/>
          <w:lang w:val="bg"/>
        </w:rPr>
        <w:t xml:space="preserve"> по Закона за енергетиката (ЗЕЕ). Въпреки че и двете споделят общи принципи като отворено участие, демократично управление и приоритизиране на социалните, икономическите и </w:t>
      </w:r>
      <w:r w:rsidRPr="001D4F8B">
        <w:rPr>
          <w:rFonts w:ascii="Times New Roman" w:hAnsi="Times New Roman" w:cs="Times New Roman"/>
          <w:sz w:val="24"/>
          <w:szCs w:val="24"/>
          <w:lang w:val="bg"/>
        </w:rPr>
        <w:lastRenderedPageBreak/>
        <w:t>екологичните ползи пред финансовата печалба, те имат различни правни рамки и оперативни ограничения.</w:t>
      </w:r>
    </w:p>
    <w:p w:rsidR="007906A8" w:rsidRPr="001D4F8B" w:rsidRDefault="007906A8" w:rsidP="001D4F8B">
      <w:pPr>
        <w:spacing w:line="276" w:lineRule="auto"/>
        <w:rPr>
          <w:rFonts w:ascii="Times New Roman" w:hAnsi="Times New Roman" w:cs="Times New Roman"/>
          <w:color w:val="009999"/>
          <w:sz w:val="28"/>
          <w:szCs w:val="28"/>
          <w:lang w:val="bg"/>
        </w:rPr>
      </w:pPr>
      <w:bookmarkStart w:id="41" w:name="bookmark205"/>
      <w:r w:rsidRPr="001D4F8B">
        <w:rPr>
          <w:rFonts w:ascii="Times New Roman" w:hAnsi="Times New Roman" w:cs="Times New Roman"/>
          <w:color w:val="009999"/>
          <w:sz w:val="28"/>
          <w:szCs w:val="28"/>
          <w:lang w:val="bg"/>
        </w:rPr>
        <w:t>Общности за възобновяема енергия (RECs)</w:t>
      </w:r>
      <w:bookmarkEnd w:id="41"/>
    </w:p>
    <w:p w:rsidR="007906A8" w:rsidRDefault="007906A8" w:rsidP="001D4F8B">
      <w:pPr>
        <w:spacing w:line="276" w:lineRule="auto"/>
        <w:jc w:val="both"/>
        <w:rPr>
          <w:rFonts w:ascii="Times New Roman" w:hAnsi="Times New Roman" w:cs="Times New Roman"/>
          <w:sz w:val="24"/>
          <w:szCs w:val="24"/>
          <w:lang w:val="bg"/>
        </w:rPr>
      </w:pPr>
      <w:r w:rsidRPr="001D4F8B">
        <w:rPr>
          <w:rFonts w:ascii="Times New Roman" w:hAnsi="Times New Roman" w:cs="Times New Roman"/>
          <w:sz w:val="24"/>
          <w:szCs w:val="24"/>
        </w:rPr>
        <w:t>REC</w:t>
      </w:r>
      <w:r w:rsidRPr="001D4F8B">
        <w:rPr>
          <w:rFonts w:ascii="Times New Roman" w:hAnsi="Times New Roman" w:cs="Times New Roman"/>
          <w:sz w:val="24"/>
          <w:szCs w:val="24"/>
          <w:lang w:val="bg"/>
        </w:rPr>
        <w:t xml:space="preserve"> в България се регулират от Закона за ВЕИ (ЗЕВИ). Те подлежат на географски ограничения, които изискват те да бъдат разположени в рамките на конкретна урбанизирана зона и в непосредствена близост до инсталациите за енергия от възобновяеми източници, които експлоатират. </w:t>
      </w:r>
      <w:r w:rsidRPr="001D4F8B">
        <w:rPr>
          <w:rFonts w:ascii="Times New Roman" w:hAnsi="Times New Roman" w:cs="Times New Roman"/>
          <w:sz w:val="24"/>
          <w:szCs w:val="24"/>
        </w:rPr>
        <w:t>REC</w:t>
      </w:r>
      <w:r w:rsidRPr="001D4F8B">
        <w:rPr>
          <w:rFonts w:ascii="Times New Roman" w:hAnsi="Times New Roman" w:cs="Times New Roman"/>
          <w:sz w:val="24"/>
          <w:szCs w:val="24"/>
          <w:lang w:val="bg"/>
        </w:rPr>
        <w:t xml:space="preserve"> са ограничени до дейности, включващи само възобновяеми енергийни източници, с право да произвеждат, потребяват, съхраняват и продават излишната електроенергия от възобновяеми източници, включително чрез споразумения за закупуване на електроенергия (</w:t>
      </w:r>
      <w:r w:rsidRPr="001D4F8B">
        <w:rPr>
          <w:rFonts w:ascii="Times New Roman" w:hAnsi="Times New Roman" w:cs="Times New Roman"/>
          <w:sz w:val="24"/>
          <w:szCs w:val="24"/>
        </w:rPr>
        <w:t>PPA</w:t>
      </w:r>
      <w:r w:rsidRPr="001D4F8B">
        <w:rPr>
          <w:rFonts w:ascii="Times New Roman" w:hAnsi="Times New Roman" w:cs="Times New Roman"/>
          <w:sz w:val="24"/>
          <w:szCs w:val="24"/>
          <w:lang w:val="bg"/>
        </w:rPr>
        <w:t xml:space="preserve">). Въпреки че им се предоставя недискриминационен достъп до подходящи пазари на електроенергия, понастоящем те са изправени пред регулаторни пропуски по отношение на правилата за споделяне на енергия. Членството в </w:t>
      </w:r>
      <w:r w:rsidRPr="001D4F8B">
        <w:rPr>
          <w:rFonts w:ascii="Times New Roman" w:hAnsi="Times New Roman" w:cs="Times New Roman"/>
          <w:sz w:val="24"/>
          <w:szCs w:val="24"/>
        </w:rPr>
        <w:t>REC</w:t>
      </w:r>
      <w:r w:rsidRPr="001D4F8B">
        <w:rPr>
          <w:rFonts w:ascii="Times New Roman" w:hAnsi="Times New Roman" w:cs="Times New Roman"/>
          <w:sz w:val="24"/>
          <w:szCs w:val="24"/>
          <w:lang w:val="bg"/>
        </w:rPr>
        <w:t xml:space="preserve"> е ограничено до физически лица, малки и средни предприятия (МСП) и общини, които извършват дейност в рамките на определените географски граници.</w:t>
      </w:r>
    </w:p>
    <w:p w:rsidR="001D4F8B" w:rsidRPr="001D4F8B" w:rsidRDefault="001D4F8B" w:rsidP="001D4F8B">
      <w:pPr>
        <w:spacing w:line="276" w:lineRule="auto"/>
        <w:jc w:val="both"/>
        <w:rPr>
          <w:rFonts w:ascii="Times New Roman" w:hAnsi="Times New Roman" w:cs="Times New Roman"/>
          <w:sz w:val="24"/>
          <w:szCs w:val="24"/>
          <w:lang w:val="bg"/>
        </w:rPr>
      </w:pPr>
    </w:p>
    <w:p w:rsidR="007906A8" w:rsidRPr="001D4F8B" w:rsidRDefault="007906A8" w:rsidP="001D4F8B">
      <w:pPr>
        <w:spacing w:line="276" w:lineRule="auto"/>
        <w:jc w:val="both"/>
        <w:rPr>
          <w:rFonts w:ascii="Times New Roman" w:hAnsi="Times New Roman" w:cs="Times New Roman"/>
          <w:color w:val="009999"/>
          <w:sz w:val="28"/>
          <w:szCs w:val="28"/>
          <w:lang w:val="bg"/>
        </w:rPr>
      </w:pPr>
      <w:bookmarkStart w:id="42" w:name="bookmark207"/>
      <w:r w:rsidRPr="001D4F8B">
        <w:rPr>
          <w:rFonts w:ascii="Times New Roman" w:hAnsi="Times New Roman" w:cs="Times New Roman"/>
          <w:color w:val="009999"/>
          <w:sz w:val="28"/>
          <w:szCs w:val="28"/>
          <w:lang w:val="bg"/>
        </w:rPr>
        <w:t>Граждански енергийни общности (</w:t>
      </w:r>
      <w:r w:rsidRPr="001D4F8B">
        <w:rPr>
          <w:rFonts w:ascii="Times New Roman" w:hAnsi="Times New Roman" w:cs="Times New Roman"/>
          <w:color w:val="009999"/>
          <w:sz w:val="28"/>
          <w:szCs w:val="28"/>
        </w:rPr>
        <w:t>CEC</w:t>
      </w:r>
      <w:r w:rsidRPr="001D4F8B">
        <w:rPr>
          <w:rFonts w:ascii="Times New Roman" w:hAnsi="Times New Roman" w:cs="Times New Roman"/>
          <w:color w:val="009999"/>
          <w:sz w:val="28"/>
          <w:szCs w:val="28"/>
          <w:lang w:val="bg"/>
        </w:rPr>
        <w:t>)</w:t>
      </w:r>
      <w:bookmarkEnd w:id="42"/>
    </w:p>
    <w:p w:rsidR="007906A8" w:rsidRPr="001D4F8B" w:rsidRDefault="007906A8" w:rsidP="001D4F8B">
      <w:pPr>
        <w:spacing w:line="276" w:lineRule="auto"/>
        <w:jc w:val="both"/>
        <w:rPr>
          <w:rFonts w:ascii="Times New Roman" w:hAnsi="Times New Roman" w:cs="Times New Roman"/>
          <w:sz w:val="24"/>
          <w:szCs w:val="24"/>
          <w:lang w:val="bg"/>
        </w:rPr>
      </w:pPr>
      <w:r w:rsidRPr="001D4F8B">
        <w:rPr>
          <w:rFonts w:ascii="Times New Roman" w:hAnsi="Times New Roman" w:cs="Times New Roman"/>
          <w:sz w:val="24"/>
          <w:szCs w:val="24"/>
        </w:rPr>
        <w:t>CEC</w:t>
      </w:r>
      <w:r w:rsidRPr="001D4F8B">
        <w:rPr>
          <w:rFonts w:ascii="Times New Roman" w:hAnsi="Times New Roman" w:cs="Times New Roman"/>
          <w:sz w:val="24"/>
          <w:szCs w:val="24"/>
          <w:lang w:val="bg"/>
        </w:rPr>
        <w:t xml:space="preserve"> в България са регламентирани в чл. 92б от Закона за енергетиката (ЗЕ). За разлика от възобновяемите енергийни източници, </w:t>
      </w:r>
      <w:r w:rsidRPr="001D4F8B">
        <w:rPr>
          <w:rFonts w:ascii="Times New Roman" w:hAnsi="Times New Roman" w:cs="Times New Roman"/>
          <w:sz w:val="24"/>
          <w:szCs w:val="24"/>
        </w:rPr>
        <w:t>CEC</w:t>
      </w:r>
      <w:r w:rsidRPr="001D4F8B">
        <w:rPr>
          <w:rFonts w:ascii="Times New Roman" w:hAnsi="Times New Roman" w:cs="Times New Roman"/>
          <w:sz w:val="24"/>
          <w:szCs w:val="24"/>
          <w:lang w:val="bg"/>
        </w:rPr>
        <w:t xml:space="preserve"> не подлежат на географски ограничения и могат да работят в цялата страна. Те имат по-широк обхват на дейностите, който включва производство на електроенергия (не само възобновяеми енергийни източници), разпределение, доставка, агрегиране, съхранение, услуги за енергийна ефективност, зареждане на електрически превозни средства (ЕПС) и други свързани енергийни услуги. Членството е отворено за физически лица, МСП и общини, при условие че големите предприятия не могат да притежават мажоритарен дял, като по този начин се запазва движеният от гражданите характер на общността. Освен това, когато в Закона за ВЕИ (ЗЕВИ) липсват конкретни разпоредби, приложими за </w:t>
      </w:r>
      <w:r w:rsidRPr="001D4F8B">
        <w:rPr>
          <w:rFonts w:ascii="Times New Roman" w:hAnsi="Times New Roman" w:cs="Times New Roman"/>
          <w:sz w:val="24"/>
          <w:szCs w:val="24"/>
        </w:rPr>
        <w:t>REC</w:t>
      </w:r>
      <w:r w:rsidRPr="001D4F8B">
        <w:rPr>
          <w:rFonts w:ascii="Times New Roman" w:hAnsi="Times New Roman" w:cs="Times New Roman"/>
          <w:sz w:val="24"/>
          <w:szCs w:val="24"/>
          <w:lang w:val="bg"/>
        </w:rPr>
        <w:t xml:space="preserve">, правилата, очертани за </w:t>
      </w:r>
      <w:r w:rsidRPr="001D4F8B">
        <w:rPr>
          <w:rFonts w:ascii="Times New Roman" w:hAnsi="Times New Roman" w:cs="Times New Roman"/>
          <w:sz w:val="24"/>
          <w:szCs w:val="24"/>
        </w:rPr>
        <w:t>CEC</w:t>
      </w:r>
      <w:r w:rsidRPr="001D4F8B">
        <w:rPr>
          <w:rFonts w:ascii="Times New Roman" w:hAnsi="Times New Roman" w:cs="Times New Roman"/>
          <w:sz w:val="24"/>
          <w:szCs w:val="24"/>
          <w:lang w:val="bg"/>
        </w:rPr>
        <w:t xml:space="preserve"> съгласно Закона за енергетиката, служат като аварийна правна рамка.</w:t>
      </w:r>
    </w:p>
    <w:p w:rsidR="007906A8" w:rsidRDefault="007906A8" w:rsidP="00B01311">
      <w:pPr>
        <w:pStyle w:val="Heading3"/>
        <w:numPr>
          <w:ilvl w:val="2"/>
          <w:numId w:val="185"/>
        </w:numPr>
        <w:rPr>
          <w:rFonts w:ascii="Times New Roman" w:hAnsi="Times New Roman" w:cs="Times New Roman"/>
          <w:color w:val="009999"/>
          <w:sz w:val="28"/>
          <w:szCs w:val="28"/>
          <w:lang w:val="bg"/>
        </w:rPr>
      </w:pPr>
      <w:bookmarkStart w:id="43" w:name="bookmark210"/>
      <w:bookmarkStart w:id="44" w:name="bookmark209"/>
      <w:bookmarkStart w:id="45" w:name="_Toc203141262"/>
      <w:r w:rsidRPr="001D4F8B">
        <w:rPr>
          <w:rFonts w:ascii="Times New Roman" w:hAnsi="Times New Roman" w:cs="Times New Roman"/>
          <w:color w:val="009999"/>
          <w:sz w:val="28"/>
          <w:szCs w:val="28"/>
          <w:lang w:val="bg"/>
        </w:rPr>
        <w:t>Правно-организационна форма и управление</w:t>
      </w:r>
      <w:bookmarkEnd w:id="43"/>
      <w:bookmarkEnd w:id="44"/>
      <w:bookmarkEnd w:id="45"/>
    </w:p>
    <w:p w:rsidR="00082BFC" w:rsidRPr="00082BFC" w:rsidRDefault="00082BFC" w:rsidP="00082BFC">
      <w:pPr>
        <w:pStyle w:val="ListParagraph"/>
        <w:rPr>
          <w:lang w:val="bg"/>
        </w:rPr>
      </w:pPr>
    </w:p>
    <w:p w:rsidR="007906A8" w:rsidRPr="001D4F8B" w:rsidRDefault="007906A8" w:rsidP="001D4F8B">
      <w:pPr>
        <w:spacing w:line="276" w:lineRule="auto"/>
        <w:jc w:val="both"/>
        <w:rPr>
          <w:rFonts w:ascii="Times New Roman" w:hAnsi="Times New Roman" w:cs="Times New Roman"/>
          <w:sz w:val="24"/>
          <w:szCs w:val="24"/>
          <w:lang w:val="bg"/>
        </w:rPr>
      </w:pPr>
      <w:r w:rsidRPr="001D4F8B">
        <w:rPr>
          <w:rFonts w:ascii="Times New Roman" w:hAnsi="Times New Roman" w:cs="Times New Roman"/>
          <w:sz w:val="24"/>
          <w:szCs w:val="24"/>
          <w:lang w:val="bg"/>
        </w:rPr>
        <w:t xml:space="preserve">Директивите на ЕС предвиждат, че </w:t>
      </w:r>
      <w:r w:rsidRPr="001D4F8B">
        <w:rPr>
          <w:rFonts w:ascii="Times New Roman" w:hAnsi="Times New Roman" w:cs="Times New Roman"/>
          <w:sz w:val="24"/>
          <w:szCs w:val="24"/>
        </w:rPr>
        <w:t>REC</w:t>
      </w:r>
      <w:r w:rsidRPr="001D4F8B">
        <w:rPr>
          <w:rFonts w:ascii="Times New Roman" w:hAnsi="Times New Roman" w:cs="Times New Roman"/>
          <w:sz w:val="24"/>
          <w:szCs w:val="24"/>
          <w:lang w:val="bg"/>
        </w:rPr>
        <w:t xml:space="preserve"> и </w:t>
      </w:r>
      <w:r w:rsidRPr="001D4F8B">
        <w:rPr>
          <w:rFonts w:ascii="Times New Roman" w:hAnsi="Times New Roman" w:cs="Times New Roman"/>
          <w:sz w:val="24"/>
          <w:szCs w:val="24"/>
        </w:rPr>
        <w:t>CEC</w:t>
      </w:r>
      <w:r w:rsidRPr="001D4F8B">
        <w:rPr>
          <w:rFonts w:ascii="Times New Roman" w:hAnsi="Times New Roman" w:cs="Times New Roman"/>
          <w:sz w:val="24"/>
          <w:szCs w:val="24"/>
          <w:lang w:val="bg"/>
        </w:rPr>
        <w:t xml:space="preserve"> са „юридически лица“. Следователно държавите членки имат право на преценка да предвидят различни правни форми, в рамките на които могат да бъдат организирани и да съществуват енергийни общности. Приема се, че понятието „правен субект“ включва и консорциум или съвместно предприятие, което не е учредено (т.е. не</w:t>
      </w:r>
      <w:r w:rsidR="00367EEB">
        <w:rPr>
          <w:rFonts w:ascii="Times New Roman" w:hAnsi="Times New Roman" w:cs="Times New Roman"/>
          <w:sz w:val="24"/>
          <w:szCs w:val="24"/>
          <w:lang w:val="bg"/>
        </w:rPr>
        <w:t xml:space="preserve"> </w:t>
      </w:r>
      <w:r w:rsidRPr="001D4F8B">
        <w:rPr>
          <w:rFonts w:ascii="Times New Roman" w:hAnsi="Times New Roman" w:cs="Times New Roman"/>
          <w:sz w:val="24"/>
          <w:szCs w:val="24"/>
          <w:lang w:val="bg"/>
        </w:rPr>
        <w:t>персонифицирани организации).</w:t>
      </w:r>
    </w:p>
    <w:p w:rsidR="007906A8" w:rsidRPr="007906A8" w:rsidRDefault="007906A8" w:rsidP="007906A8">
      <w:pPr>
        <w:rPr>
          <w:lang w:val="bg"/>
        </w:rPr>
      </w:pP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Енергийните общности в България </w:t>
      </w:r>
      <w:r w:rsidRPr="00367EEB">
        <w:rPr>
          <w:rFonts w:ascii="Times New Roman" w:hAnsi="Times New Roman" w:cs="Times New Roman"/>
          <w:b/>
          <w:bCs/>
          <w:sz w:val="24"/>
          <w:szCs w:val="24"/>
          <w:lang w:val="bg"/>
        </w:rPr>
        <w:t>нямат специална правна форма и трябва да се регистрират в съществуващи корпоративни или нестопански структури:</w:t>
      </w:r>
    </w:p>
    <w:p w:rsidR="00367EEB" w:rsidRDefault="007906A8" w:rsidP="00B01311">
      <w:pPr>
        <w:pStyle w:val="ListParagraph"/>
        <w:numPr>
          <w:ilvl w:val="0"/>
          <w:numId w:val="57"/>
        </w:num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Кооперации (Закон за кооперациите)</w:t>
      </w:r>
    </w:p>
    <w:p w:rsidR="00367EEB" w:rsidRDefault="007906A8" w:rsidP="00B01311">
      <w:pPr>
        <w:pStyle w:val="ListParagraph"/>
        <w:numPr>
          <w:ilvl w:val="0"/>
          <w:numId w:val="57"/>
        </w:num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Организации с нестопанска цел (ЗЮЛНЦ) (Закон за юридическите лица с нестопанска цел - ЗЮЛНЦ)</w:t>
      </w:r>
    </w:p>
    <w:p w:rsidR="00367EEB" w:rsidRDefault="007906A8" w:rsidP="00B01311">
      <w:pPr>
        <w:pStyle w:val="ListParagraph"/>
        <w:numPr>
          <w:ilvl w:val="0"/>
          <w:numId w:val="57"/>
        </w:num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lastRenderedPageBreak/>
        <w:t>Търговски дружества (Търговски закон - ТЗ)</w:t>
      </w:r>
    </w:p>
    <w:p w:rsidR="007906A8" w:rsidRPr="00367EEB" w:rsidRDefault="007906A8" w:rsidP="00B01311">
      <w:pPr>
        <w:pStyle w:val="ListParagraph"/>
        <w:numPr>
          <w:ilvl w:val="0"/>
          <w:numId w:val="57"/>
        </w:num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Сдружения за етажна собственост (Закон за управление на етажната собственост - ЗУЕС)</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Закон за енергетиката (§1, т. 76, ДР) изрично посочва, че ЦИК трябва да гарантират, че основната им цел е да осигуряват екологични, икономически или социални ползи за общността, а не финансова печалба. Не съществува обаче определен механизъм за наблюдение на спазването на това изискване и енергийните общности биха могли да бъдат уязвими по отношение на търговската експлоатация от страна на дружества, които търсят финансова печалба.</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За възобновяемите енергийни източници Законът за възобновяемите енергийни източници (чл. 56, ЗЕВИ) се уточнява, че те трябва да бъдат ефективно контролирани от своите членове, да притежават инсталации за възобновяема енергия и да разпределят произведената енергия между членовете. </w:t>
      </w:r>
      <w:r w:rsidRPr="00367EEB">
        <w:rPr>
          <w:rFonts w:ascii="Times New Roman" w:hAnsi="Times New Roman" w:cs="Times New Roman"/>
          <w:b/>
          <w:bCs/>
          <w:sz w:val="24"/>
          <w:szCs w:val="24"/>
          <w:lang w:val="bg"/>
        </w:rPr>
        <w:t xml:space="preserve">Правните предизвикателства </w:t>
      </w:r>
      <w:r w:rsidRPr="00367EEB">
        <w:rPr>
          <w:rFonts w:ascii="Times New Roman" w:hAnsi="Times New Roman" w:cs="Times New Roman"/>
          <w:sz w:val="24"/>
          <w:szCs w:val="24"/>
          <w:lang w:val="bg"/>
        </w:rPr>
        <w:t>включват:</w:t>
      </w:r>
    </w:p>
    <w:p w:rsidR="00367EEB" w:rsidRDefault="007906A8" w:rsidP="00B01311">
      <w:pPr>
        <w:pStyle w:val="ListParagraph"/>
        <w:numPr>
          <w:ilvl w:val="0"/>
          <w:numId w:val="58"/>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България не е приложила ефективно </w:t>
      </w:r>
      <w:r w:rsidRPr="00367EEB">
        <w:rPr>
          <w:rFonts w:ascii="Times New Roman" w:hAnsi="Times New Roman" w:cs="Times New Roman"/>
          <w:b/>
          <w:bCs/>
          <w:sz w:val="24"/>
          <w:szCs w:val="24"/>
        </w:rPr>
        <w:t>RED</w:t>
      </w:r>
      <w:r w:rsidRPr="00367EEB">
        <w:rPr>
          <w:rFonts w:ascii="Times New Roman" w:hAnsi="Times New Roman" w:cs="Times New Roman"/>
          <w:b/>
          <w:bCs/>
          <w:sz w:val="24"/>
          <w:szCs w:val="24"/>
          <w:lang w:val="bg"/>
        </w:rPr>
        <w:t xml:space="preserve"> II.</w:t>
      </w:r>
      <w:r w:rsidRPr="00367EEB">
        <w:rPr>
          <w:rFonts w:ascii="Times New Roman" w:hAnsi="Times New Roman" w:cs="Times New Roman"/>
          <w:sz w:val="24"/>
          <w:szCs w:val="24"/>
          <w:lang w:val="bg"/>
        </w:rPr>
        <w:t xml:space="preserve"> Вместо това разпоредбите на директивата бяха официално и пряко копирани в националното законодателство без оперативни механизми. В резултат на това няма ясни определения за ключови понятия като </w:t>
      </w:r>
      <w:r w:rsidRPr="00367EEB">
        <w:rPr>
          <w:rFonts w:ascii="Times New Roman" w:hAnsi="Times New Roman" w:cs="Times New Roman"/>
          <w:i/>
          <w:iCs/>
          <w:sz w:val="24"/>
          <w:szCs w:val="24"/>
          <w:lang w:val="bg"/>
        </w:rPr>
        <w:t>близост</w:t>
      </w:r>
      <w:r w:rsidRPr="00367EEB">
        <w:rPr>
          <w:rFonts w:ascii="Times New Roman" w:hAnsi="Times New Roman" w:cs="Times New Roman"/>
          <w:sz w:val="24"/>
          <w:szCs w:val="24"/>
          <w:lang w:val="bg"/>
        </w:rPr>
        <w:t xml:space="preserve">, </w:t>
      </w:r>
      <w:r w:rsidRPr="00367EEB">
        <w:rPr>
          <w:rFonts w:ascii="Times New Roman" w:hAnsi="Times New Roman" w:cs="Times New Roman"/>
          <w:i/>
          <w:iCs/>
          <w:sz w:val="24"/>
          <w:szCs w:val="24"/>
          <w:lang w:val="bg"/>
        </w:rPr>
        <w:t>ползи за общността спрямо реализиране на печалба ,</w:t>
      </w:r>
      <w:r w:rsidRPr="00367EEB">
        <w:rPr>
          <w:rFonts w:ascii="Times New Roman" w:hAnsi="Times New Roman" w:cs="Times New Roman"/>
          <w:sz w:val="24"/>
          <w:szCs w:val="24"/>
          <w:lang w:val="bg"/>
        </w:rPr>
        <w:t xml:space="preserve"> </w:t>
      </w:r>
      <w:r w:rsidRPr="00367EEB">
        <w:rPr>
          <w:rFonts w:ascii="Times New Roman" w:hAnsi="Times New Roman" w:cs="Times New Roman"/>
          <w:i/>
          <w:iCs/>
          <w:sz w:val="24"/>
          <w:szCs w:val="24"/>
          <w:lang w:val="bg"/>
        </w:rPr>
        <w:t>ограничения за членство за търговски субекти</w:t>
      </w:r>
      <w:r w:rsidRPr="00367EEB">
        <w:rPr>
          <w:rFonts w:ascii="Times New Roman" w:hAnsi="Times New Roman" w:cs="Times New Roman"/>
          <w:sz w:val="24"/>
          <w:szCs w:val="24"/>
          <w:lang w:val="bg"/>
        </w:rPr>
        <w:t xml:space="preserve">, или </w:t>
      </w:r>
      <w:r w:rsidRPr="00367EEB">
        <w:rPr>
          <w:rFonts w:ascii="Times New Roman" w:hAnsi="Times New Roman" w:cs="Times New Roman"/>
          <w:i/>
          <w:iCs/>
          <w:sz w:val="24"/>
          <w:szCs w:val="24"/>
          <w:lang w:val="bg"/>
        </w:rPr>
        <w:t>правила за вътрешно споделяне на енергия в рамките на инсталации на Общността</w:t>
      </w:r>
      <w:r w:rsidRPr="00367EEB">
        <w:rPr>
          <w:rFonts w:ascii="Times New Roman" w:hAnsi="Times New Roman" w:cs="Times New Roman"/>
          <w:sz w:val="24"/>
          <w:szCs w:val="24"/>
          <w:lang w:val="bg"/>
        </w:rPr>
        <w:t>.</w:t>
      </w:r>
    </w:p>
    <w:p w:rsidR="00367EEB" w:rsidRDefault="007906A8" w:rsidP="00B01311">
      <w:pPr>
        <w:pStyle w:val="ListParagraph"/>
        <w:numPr>
          <w:ilvl w:val="0"/>
          <w:numId w:val="58"/>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Няма специална рамка за регистрация,</w:t>
      </w:r>
      <w:r w:rsidRPr="00367EEB">
        <w:rPr>
          <w:rFonts w:ascii="Times New Roman" w:hAnsi="Times New Roman" w:cs="Times New Roman"/>
          <w:sz w:val="24"/>
          <w:szCs w:val="24"/>
          <w:lang w:val="bg"/>
        </w:rPr>
        <w:t xml:space="preserve"> която да изисква енергийните общности да се регистрират под неподходящи правни форми.</w:t>
      </w:r>
    </w:p>
    <w:p w:rsidR="00367EEB" w:rsidRDefault="007906A8" w:rsidP="00B01311">
      <w:pPr>
        <w:pStyle w:val="ListParagraph"/>
        <w:numPr>
          <w:ilvl w:val="0"/>
          <w:numId w:val="58"/>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Строги изисквания за сдруженията на етажната собственост </w:t>
      </w:r>
      <w:r w:rsidRPr="00367EEB">
        <w:rPr>
          <w:rFonts w:ascii="Times New Roman" w:hAnsi="Times New Roman" w:cs="Times New Roman"/>
          <w:sz w:val="24"/>
          <w:szCs w:val="24"/>
          <w:lang w:val="bg"/>
        </w:rPr>
        <w:t>(ЗУЕС), като например изискването за 100 % съгласие на собствениците за слънчеви инсталации, което прави колективните проекти почти невъзможни в многофамилните сгради.</w:t>
      </w:r>
    </w:p>
    <w:p w:rsidR="007906A8" w:rsidRPr="00367EEB" w:rsidRDefault="007906A8" w:rsidP="00B01311">
      <w:pPr>
        <w:pStyle w:val="ListParagraph"/>
        <w:numPr>
          <w:ilvl w:val="0"/>
          <w:numId w:val="58"/>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Липса на специфични правила за управлението и процесите на вземане на решения </w:t>
      </w:r>
      <w:r w:rsidRPr="00367EEB">
        <w:rPr>
          <w:rFonts w:ascii="Times New Roman" w:hAnsi="Times New Roman" w:cs="Times New Roman"/>
          <w:sz w:val="24"/>
          <w:szCs w:val="24"/>
          <w:lang w:val="bg"/>
        </w:rPr>
        <w:t>извън очертаното в общото корпоративно и кооперативно право.</w:t>
      </w:r>
    </w:p>
    <w:p w:rsidR="007906A8" w:rsidRPr="007906A8" w:rsidRDefault="007906A8" w:rsidP="007906A8">
      <w:pPr>
        <w:rPr>
          <w:lang w:val="bg"/>
        </w:rPr>
      </w:pPr>
    </w:p>
    <w:p w:rsidR="007906A8" w:rsidRPr="00367EEB" w:rsidRDefault="007906A8" w:rsidP="007906A8">
      <w:pPr>
        <w:rPr>
          <w:color w:val="009999"/>
          <w:lang w:val="bg"/>
        </w:rPr>
      </w:pPr>
    </w:p>
    <w:p w:rsidR="007906A8" w:rsidRDefault="007906A8" w:rsidP="00B01311">
      <w:pPr>
        <w:pStyle w:val="Heading3"/>
        <w:numPr>
          <w:ilvl w:val="2"/>
          <w:numId w:val="185"/>
        </w:numPr>
        <w:rPr>
          <w:rFonts w:ascii="Times New Roman" w:hAnsi="Times New Roman" w:cs="Times New Roman"/>
          <w:color w:val="009999"/>
          <w:sz w:val="28"/>
          <w:szCs w:val="28"/>
          <w:lang w:val="bg"/>
        </w:rPr>
      </w:pPr>
      <w:bookmarkStart w:id="46" w:name="bookmark213"/>
      <w:bookmarkStart w:id="47" w:name="bookmark212"/>
      <w:bookmarkStart w:id="48" w:name="_Toc203141263"/>
      <w:r w:rsidRPr="00367EEB">
        <w:rPr>
          <w:rFonts w:ascii="Times New Roman" w:hAnsi="Times New Roman" w:cs="Times New Roman"/>
          <w:color w:val="009999"/>
          <w:sz w:val="28"/>
          <w:szCs w:val="28"/>
          <w:lang w:val="bg"/>
        </w:rPr>
        <w:t>Производство, потребление, съхранение и споделяне на енергия</w:t>
      </w:r>
      <w:bookmarkEnd w:id="46"/>
      <w:bookmarkEnd w:id="47"/>
      <w:bookmarkEnd w:id="48"/>
    </w:p>
    <w:p w:rsidR="00082BFC" w:rsidRPr="00082BFC" w:rsidRDefault="00082BFC" w:rsidP="00082BFC">
      <w:pPr>
        <w:pStyle w:val="ListParagraph"/>
        <w:rPr>
          <w:lang w:val="bg"/>
        </w:rPr>
      </w:pP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Енергийните общности могат да произвеждат, потребяват, съхраняват и продават енергия съгласно Правилата за измерване на електрическата енергия (Правила за измерване на количеството електрическа енергия) и Наредбата за измерване и сетълмент на количествата електрическа енергия (Наредба No 6/2014 г.). Практическото им </w:t>
      </w:r>
      <w:r w:rsidRPr="00367EEB">
        <w:rPr>
          <w:rFonts w:ascii="Times New Roman" w:hAnsi="Times New Roman" w:cs="Times New Roman"/>
          <w:b/>
          <w:bCs/>
          <w:sz w:val="24"/>
          <w:szCs w:val="24"/>
          <w:lang w:val="bg"/>
        </w:rPr>
        <w:t>участие на пазара обаче е ограничено поради регулаторни пропуски:</w:t>
      </w:r>
    </w:p>
    <w:p w:rsidR="00367EEB" w:rsidRDefault="007906A8" w:rsidP="00B01311">
      <w:pPr>
        <w:pStyle w:val="ListParagraph"/>
        <w:numPr>
          <w:ilvl w:val="0"/>
          <w:numId w:val="59"/>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Липса на ясна рамка за споделяне на енергия:</w:t>
      </w:r>
      <w:r w:rsidRPr="00367EEB">
        <w:rPr>
          <w:rFonts w:ascii="Times New Roman" w:hAnsi="Times New Roman" w:cs="Times New Roman"/>
          <w:sz w:val="24"/>
          <w:szCs w:val="24"/>
          <w:lang w:val="bg"/>
        </w:rPr>
        <w:t xml:space="preserve"> </w:t>
      </w:r>
      <w:r w:rsidRPr="00367EEB">
        <w:rPr>
          <w:rFonts w:ascii="Times New Roman" w:hAnsi="Times New Roman" w:cs="Times New Roman"/>
          <w:sz w:val="24"/>
          <w:szCs w:val="24"/>
        </w:rPr>
        <w:t>REC</w:t>
      </w:r>
      <w:r w:rsidRPr="00367EEB">
        <w:rPr>
          <w:rFonts w:ascii="Times New Roman" w:hAnsi="Times New Roman" w:cs="Times New Roman"/>
          <w:sz w:val="24"/>
          <w:szCs w:val="24"/>
          <w:lang w:val="bg"/>
        </w:rPr>
        <w:t xml:space="preserve"> следва да могат да разпределят енергия между своите членове, но правилата за свързване към мрежата и измерване не включват вътрешно</w:t>
      </w:r>
      <w:r w:rsidR="00A14D29">
        <w:rPr>
          <w:rFonts w:ascii="Times New Roman" w:hAnsi="Times New Roman" w:cs="Times New Roman"/>
          <w:sz w:val="24"/>
          <w:szCs w:val="24"/>
          <w:lang w:val="bg"/>
        </w:rPr>
        <w:t xml:space="preserve"> </w:t>
      </w:r>
      <w:r w:rsidRPr="00367EEB">
        <w:rPr>
          <w:rFonts w:ascii="Times New Roman" w:hAnsi="Times New Roman" w:cs="Times New Roman"/>
          <w:sz w:val="24"/>
          <w:szCs w:val="24"/>
          <w:lang w:val="bg"/>
        </w:rPr>
        <w:t>общностния енергиен обмен.</w:t>
      </w:r>
    </w:p>
    <w:p w:rsidR="00367EEB" w:rsidRDefault="007906A8" w:rsidP="00B01311">
      <w:pPr>
        <w:pStyle w:val="ListParagraph"/>
        <w:numPr>
          <w:ilvl w:val="0"/>
          <w:numId w:val="59"/>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Липса на VNM:</w:t>
      </w:r>
      <w:r w:rsidRPr="00367EEB">
        <w:rPr>
          <w:rFonts w:ascii="Times New Roman" w:hAnsi="Times New Roman" w:cs="Times New Roman"/>
          <w:sz w:val="24"/>
          <w:szCs w:val="24"/>
          <w:lang w:val="bg"/>
        </w:rPr>
        <w:t xml:space="preserve"> Българското законодателство все още не позволява енергията, произведена на едно място, да бъде кредитирана в множество точки на потребление в рамките на една енергийна общност.</w:t>
      </w:r>
    </w:p>
    <w:p w:rsidR="007906A8" w:rsidRPr="00367EEB" w:rsidRDefault="007906A8" w:rsidP="00B01311">
      <w:pPr>
        <w:pStyle w:val="ListParagraph"/>
        <w:numPr>
          <w:ilvl w:val="0"/>
          <w:numId w:val="59"/>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lastRenderedPageBreak/>
        <w:t>Задължения за достъп до електроенергийната мрежа и балансиране:</w:t>
      </w:r>
      <w:r w:rsidRPr="00367EEB">
        <w:rPr>
          <w:rFonts w:ascii="Times New Roman" w:hAnsi="Times New Roman" w:cs="Times New Roman"/>
          <w:sz w:val="24"/>
          <w:szCs w:val="24"/>
          <w:lang w:val="bg"/>
        </w:rPr>
        <w:t xml:space="preserve"> Общностите трябва да спазват стандартните правила за достъп до мрежата и балансиране, което може да доведе до високи разходи и административна тежест.</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Основните правни пречки пред участието на енергийните общности могат да бъдат обобщени като:</w:t>
      </w:r>
    </w:p>
    <w:p w:rsidR="00367EEB" w:rsidRDefault="007906A8" w:rsidP="00B01311">
      <w:pPr>
        <w:pStyle w:val="ListParagraph"/>
        <w:numPr>
          <w:ilvl w:val="0"/>
          <w:numId w:val="60"/>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Неясните процедури за регистрация и административни процедури </w:t>
      </w:r>
      <w:r w:rsidRPr="00367EEB">
        <w:rPr>
          <w:rFonts w:ascii="Times New Roman" w:hAnsi="Times New Roman" w:cs="Times New Roman"/>
          <w:sz w:val="24"/>
          <w:szCs w:val="24"/>
          <w:lang w:val="bg"/>
        </w:rPr>
        <w:t>създават несигурност за потенциалните енергийни общности.</w:t>
      </w:r>
    </w:p>
    <w:p w:rsidR="00367EEB" w:rsidRDefault="007906A8" w:rsidP="00B01311">
      <w:pPr>
        <w:pStyle w:val="ListParagraph"/>
        <w:numPr>
          <w:ilvl w:val="0"/>
          <w:numId w:val="60"/>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Липса на механизми за подпомагане на съхранението на енергия и собственото потребление</w:t>
      </w:r>
      <w:r w:rsidRPr="00367EEB">
        <w:rPr>
          <w:rFonts w:ascii="Times New Roman" w:hAnsi="Times New Roman" w:cs="Times New Roman"/>
          <w:sz w:val="24"/>
          <w:szCs w:val="24"/>
          <w:lang w:val="bg"/>
        </w:rPr>
        <w:t>— регламентите третират енергийните общности като стандартни участници на пазара.</w:t>
      </w:r>
    </w:p>
    <w:p w:rsidR="00367EEB" w:rsidRDefault="007906A8" w:rsidP="00B01311">
      <w:pPr>
        <w:pStyle w:val="ListParagraph"/>
        <w:numPr>
          <w:ilvl w:val="0"/>
          <w:numId w:val="60"/>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Ограниченията за достъп до енергийни данни </w:t>
      </w:r>
      <w:r w:rsidRPr="00367EEB">
        <w:rPr>
          <w:rFonts w:ascii="Times New Roman" w:hAnsi="Times New Roman" w:cs="Times New Roman"/>
          <w:sz w:val="24"/>
          <w:szCs w:val="24"/>
          <w:lang w:val="bg"/>
        </w:rPr>
        <w:t>съгласно Закона за защита на личните данни (ЗЗЛД) възпрепятстват достъпа на общностите до данни от измерване в реално време или динамични профили на натоварване в края на определен период, който се контролира от операторите на разпределителни системи и се събира чрез регулиране веднъж месечно (по-нататък обясняваме процедурата и препоръчваме потенциално решение).</w:t>
      </w:r>
    </w:p>
    <w:p w:rsidR="00367EEB" w:rsidRDefault="007906A8" w:rsidP="00B01311">
      <w:pPr>
        <w:pStyle w:val="ListParagraph"/>
        <w:numPr>
          <w:ilvl w:val="0"/>
          <w:numId w:val="60"/>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Високите такси за мрежата и административната тежест правят </w:t>
      </w:r>
      <w:r w:rsidRPr="00367EEB">
        <w:rPr>
          <w:rFonts w:ascii="Times New Roman" w:hAnsi="Times New Roman" w:cs="Times New Roman"/>
          <w:sz w:val="24"/>
          <w:szCs w:val="24"/>
          <w:lang w:val="bg"/>
        </w:rPr>
        <w:t>енергийните общности финансово нежизнеспособни в повечето случаи.</w:t>
      </w:r>
    </w:p>
    <w:p w:rsidR="007906A8" w:rsidRPr="00367EEB" w:rsidRDefault="007906A8" w:rsidP="00B01311">
      <w:pPr>
        <w:pStyle w:val="ListParagraph"/>
        <w:numPr>
          <w:ilvl w:val="0"/>
          <w:numId w:val="60"/>
        </w:numPr>
        <w:spacing w:line="276" w:lineRule="auto"/>
        <w:jc w:val="both"/>
        <w:rPr>
          <w:rFonts w:ascii="Times New Roman" w:hAnsi="Times New Roman" w:cs="Times New Roman"/>
          <w:sz w:val="24"/>
          <w:szCs w:val="24"/>
          <w:lang w:val="bg"/>
        </w:rPr>
      </w:pPr>
      <w:r w:rsidRPr="00367EEB">
        <w:rPr>
          <w:rFonts w:ascii="Times New Roman" w:hAnsi="Times New Roman" w:cs="Times New Roman"/>
          <w:b/>
          <w:bCs/>
          <w:sz w:val="24"/>
          <w:szCs w:val="24"/>
          <w:lang w:val="bg"/>
        </w:rPr>
        <w:t xml:space="preserve">Риск от корпоративни поглъщания </w:t>
      </w:r>
      <w:r w:rsidRPr="00367EEB">
        <w:rPr>
          <w:rFonts w:ascii="Times New Roman" w:hAnsi="Times New Roman" w:cs="Times New Roman"/>
          <w:sz w:val="24"/>
          <w:szCs w:val="24"/>
          <w:lang w:val="bg"/>
        </w:rPr>
        <w:t>- големите енергийни компании биха могли да се възползват от пропуските в закона, за да създадат "псевдо-енергийни общности", които се възползват от стимули, докато работят за печалба.</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Българското законодателство определя </w:t>
      </w:r>
      <w:r w:rsidRPr="00367EEB">
        <w:rPr>
          <w:rFonts w:ascii="Times New Roman" w:hAnsi="Times New Roman" w:cs="Times New Roman"/>
          <w:b/>
          <w:bCs/>
          <w:sz w:val="24"/>
          <w:szCs w:val="24"/>
          <w:lang w:val="bg"/>
        </w:rPr>
        <w:t xml:space="preserve">произвеждащите потребители </w:t>
      </w:r>
      <w:r w:rsidRPr="00367EEB">
        <w:rPr>
          <w:rFonts w:ascii="Times New Roman" w:hAnsi="Times New Roman" w:cs="Times New Roman"/>
          <w:sz w:val="24"/>
          <w:szCs w:val="24"/>
          <w:lang w:val="bg"/>
        </w:rPr>
        <w:t xml:space="preserve">в две различни категории: </w:t>
      </w:r>
      <w:r w:rsidRPr="00367EEB">
        <w:rPr>
          <w:rFonts w:ascii="Times New Roman" w:hAnsi="Times New Roman" w:cs="Times New Roman"/>
          <w:b/>
          <w:bCs/>
          <w:sz w:val="24"/>
          <w:szCs w:val="24"/>
          <w:lang w:val="bg"/>
        </w:rPr>
        <w:t xml:space="preserve">Активни клиенти </w:t>
      </w:r>
      <w:r w:rsidRPr="00367EEB">
        <w:rPr>
          <w:rFonts w:ascii="Times New Roman" w:hAnsi="Times New Roman" w:cs="Times New Roman"/>
          <w:sz w:val="24"/>
          <w:szCs w:val="24"/>
          <w:lang w:val="bg"/>
        </w:rPr>
        <w:t xml:space="preserve">и </w:t>
      </w:r>
      <w:r w:rsidRPr="00367EEB">
        <w:rPr>
          <w:rFonts w:ascii="Times New Roman" w:hAnsi="Times New Roman" w:cs="Times New Roman"/>
          <w:b/>
          <w:bCs/>
          <w:sz w:val="24"/>
          <w:szCs w:val="24"/>
          <w:lang w:val="bg"/>
        </w:rPr>
        <w:t>потребители на собствена възобновяема енергия (Потребители на собствена електрическа енергия от ВЕИ).</w:t>
      </w:r>
      <w:r w:rsidRPr="00367EEB">
        <w:rPr>
          <w:rFonts w:ascii="Times New Roman" w:hAnsi="Times New Roman" w:cs="Times New Roman"/>
          <w:sz w:val="24"/>
          <w:szCs w:val="24"/>
          <w:lang w:val="bg"/>
        </w:rPr>
        <w:t xml:space="preserve"> Докато и двете групи произвеждат и консумират електроенергия, техните</w:t>
      </w:r>
      <w:r w:rsidRPr="00367EEB">
        <w:rPr>
          <w:rFonts w:ascii="Times New Roman" w:hAnsi="Times New Roman" w:cs="Times New Roman"/>
          <w:sz w:val="24"/>
          <w:szCs w:val="24"/>
        </w:rPr>
        <w:t xml:space="preserve"> </w:t>
      </w:r>
      <w:r w:rsidRPr="00367EEB">
        <w:rPr>
          <w:rFonts w:ascii="Times New Roman" w:hAnsi="Times New Roman" w:cs="Times New Roman"/>
          <w:sz w:val="24"/>
          <w:szCs w:val="24"/>
          <w:lang w:val="bg"/>
        </w:rPr>
        <w:t>законни права и участието на пазара варират в зависимост от това дали те участват в производство само на енергия от възобновяеми източници, акумулиране на енергия или търговия с електроенергия.</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Законът за енергетиката (ЗЕ, § 1, т. 75) въвежда концепцията за активни клиенти, отнасяща се до крайни потребители или групи от крайни потребители, които генерират, съхраняват, потребяват и продават електроенергия. Тези клиенти имат право да участват в агрегиране, програми за гъвкавост и схеми за оптимизация на потреблението, при условие че производството на енергия не е основната им търговска дейност. Законът гарантира, че активните клиенти не могат да бъдат подлагани на дискриминационни такси за достъп до мрежата или на прекомерни административни пречки, налагани от мрежовите оператори. Освен това те имат право да агрегират производството си и да участват в балансиращите пазари, въпреки че остават финансово отговорни за всякакви дисбаланси, освен ако не се присъединят към балансираща група. Едно от най-значимите предимства за активните клиенти е, че тези със системи за акумулиране на енергия се ползват от опростени процедури за достъп до мрежата и са освободени от допълнителни мрежови такси за акумулирана електроенергия. Регулаторната рамка обаче остава неясна в ключови области, особено по отношение на структурата на разходите за балансиране и определянето на разумен срок за присъединяване към мрежата.</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lastRenderedPageBreak/>
        <w:t>Успоредно с това, Законът за ВЕИ (Закон за енергията от възобновяеми източници - ЗЕВИ, чл. 18а) определя самостоятелните потребители на възобновяема енергия, като специално обхваща произвеждащите потребители, произвеждащи електроенергия изключително от възобновяеми източници. Тези потребители на собствена електроенергия имат право да произвеждат, потребяват, съхраняват и продават електроенергия, като същевременно запазват правата си на крайни клиенти. Законът постановява, че мрежовите оператори не могат да налагат дискриминационни условия за достъп до своята мрежа, като гарантират равно третиране при пазарни сделки. Самостоятелните потребители могат да продават излишната електроенергия на пазарни цени или чрез схеми за подпомагане, но изискванията за лицензиране и регистрация остават неясни, което създава несигурност за малките произвеждащи потребители, които искат да участват на пазара. За разлика от някои страни от ЕС, България все още не е въвела ВНМ, което означава, че потребителите</w:t>
      </w:r>
      <w:r w:rsidR="00367EEB">
        <w:rPr>
          <w:rFonts w:ascii="Times New Roman" w:hAnsi="Times New Roman" w:cs="Times New Roman"/>
          <w:sz w:val="24"/>
          <w:szCs w:val="24"/>
          <w:lang w:val="bg"/>
        </w:rPr>
        <w:t xml:space="preserve"> </w:t>
      </w:r>
      <w:r w:rsidRPr="00367EEB">
        <w:rPr>
          <w:rFonts w:ascii="Times New Roman" w:hAnsi="Times New Roman" w:cs="Times New Roman"/>
          <w:sz w:val="24"/>
          <w:szCs w:val="24"/>
          <w:lang w:val="bg"/>
        </w:rPr>
        <w:softHyphen/>
        <w:t>на собствена електроенергия на практика не могат да разпределят произведената от тях енергия в множество точки на потребление.</w:t>
      </w:r>
    </w:p>
    <w:p w:rsidR="00FA57D1" w:rsidRDefault="007906A8" w:rsidP="00FA57D1">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Въпреки неотдавнашните законодателни подобрения продължават да съществуват няколко предизвикателства за произвеждащите потребители в България. Липсата на ясни освобождавания от лицензиране за малките потребители на собствена електроенергия означава, че те биха могли да подлежат на сложни регулаторни изисквания, дори когато продават минимални количества електроенергия. Забавянията и разходите за свързване към мрежата продължават да възпрепятстват разширяването на собственото потребление, особено за тези, които нямат акумулиране на енергия. Произвеждащите потребители също така нямат достъп в реално време до собствените си данни от измерването или дори ретроспективен достъп до верифициран динамичен профил на потребление, тъй като ОРС контролират информацията за енергийния поток съгласно Закона за защита на личните данни. Освен това, въпреки че законът признава съхранението на енергия като съществен компонент на децентрализираното производство на електроенергия, той все още не определя технически стандарти, изисквания за безопасност или правила за участие на</w:t>
      </w:r>
      <w:r w:rsidR="00FA57D1">
        <w:rPr>
          <w:rFonts w:ascii="Times New Roman" w:hAnsi="Times New Roman" w:cs="Times New Roman"/>
          <w:sz w:val="24"/>
          <w:szCs w:val="24"/>
          <w:lang w:val="bg"/>
        </w:rPr>
        <w:t xml:space="preserve"> пазара на акумулирана енергия.</w:t>
      </w:r>
    </w:p>
    <w:p w:rsidR="00FA57D1" w:rsidRPr="00FA57D1" w:rsidRDefault="00FA57D1" w:rsidP="00FA57D1">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85"/>
        </w:numPr>
        <w:spacing w:line="276" w:lineRule="auto"/>
        <w:jc w:val="both"/>
        <w:rPr>
          <w:rFonts w:ascii="Times New Roman" w:hAnsi="Times New Roman" w:cs="Times New Roman"/>
          <w:color w:val="009999"/>
          <w:sz w:val="28"/>
          <w:szCs w:val="28"/>
          <w:lang w:val="bg"/>
        </w:rPr>
      </w:pPr>
      <w:bookmarkStart w:id="49" w:name="bookmark216"/>
      <w:bookmarkStart w:id="50" w:name="bookmark215"/>
      <w:bookmarkStart w:id="51" w:name="_Toc203141264"/>
      <w:r w:rsidRPr="00367EEB">
        <w:rPr>
          <w:rFonts w:ascii="Times New Roman" w:hAnsi="Times New Roman" w:cs="Times New Roman"/>
          <w:color w:val="009999"/>
          <w:sz w:val="28"/>
          <w:szCs w:val="28"/>
          <w:lang w:val="bg"/>
        </w:rPr>
        <w:t>Собственост и управление на инсталации за енергия от възобновяеми източници от трети страни</w:t>
      </w:r>
      <w:bookmarkEnd w:id="49"/>
      <w:bookmarkEnd w:id="50"/>
      <w:bookmarkEnd w:id="51"/>
    </w:p>
    <w:p w:rsidR="00082BFC" w:rsidRPr="00082BFC" w:rsidRDefault="00082BFC" w:rsidP="00082BFC">
      <w:pPr>
        <w:pStyle w:val="ListParagraph"/>
        <w:rPr>
          <w:lang w:val="bg"/>
        </w:rPr>
      </w:pP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Съгласно член 18а, параграф 6 от Закона за ВЕИ (ЗЕВИ) </w:t>
      </w:r>
      <w:r w:rsidRPr="00367EEB">
        <w:rPr>
          <w:rFonts w:ascii="Times New Roman" w:hAnsi="Times New Roman" w:cs="Times New Roman"/>
          <w:b/>
          <w:bCs/>
          <w:sz w:val="24"/>
          <w:szCs w:val="24"/>
          <w:lang w:val="bg"/>
        </w:rPr>
        <w:t>инсталацията на потребителите на собствена електроенергия от възобновяеми източници може да бъде притежавана или управлявана от трето лице</w:t>
      </w:r>
      <w:r w:rsidRPr="00367EEB">
        <w:rPr>
          <w:rFonts w:ascii="Times New Roman" w:hAnsi="Times New Roman" w:cs="Times New Roman"/>
          <w:sz w:val="24"/>
          <w:szCs w:val="24"/>
          <w:lang w:val="bg"/>
        </w:rPr>
        <w:t>. Тази трета страна може да бъде отговорна за инсталирането, експлоатацията, поддръжката и дори измерването на производството на електроенергия, стига те да действат съгласно писмените инструкции на потребителя на собствена електроенергия.</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Ключово правно разграничение е, че третото лице не придобива качеството на потребител на собствена електроенергия, независимо дали притежава или експлоатира инсталацията. Ако третата страна е собственик на инсталацията за енергия от възобновяеми източници, между тях и самостоятелния</w:t>
      </w:r>
      <w:r w:rsidR="00367EEB">
        <w:rPr>
          <w:rFonts w:ascii="Times New Roman" w:hAnsi="Times New Roman" w:cs="Times New Roman"/>
          <w:sz w:val="24"/>
          <w:szCs w:val="24"/>
          <w:lang w:val="bg"/>
        </w:rPr>
        <w:t xml:space="preserve"> </w:t>
      </w:r>
      <w:r w:rsidRPr="00367EEB">
        <w:rPr>
          <w:rFonts w:ascii="Times New Roman" w:hAnsi="Times New Roman" w:cs="Times New Roman"/>
          <w:sz w:val="24"/>
          <w:szCs w:val="24"/>
          <w:lang w:val="bg"/>
        </w:rPr>
        <w:softHyphen/>
        <w:t xml:space="preserve">потребител трябва да съществува договорно споразумение. Това споразумение трябва да гарантира, че потребителят на собствена електроенергия си </w:t>
      </w:r>
      <w:r w:rsidRPr="00367EEB">
        <w:rPr>
          <w:rFonts w:ascii="Times New Roman" w:hAnsi="Times New Roman" w:cs="Times New Roman"/>
          <w:sz w:val="24"/>
          <w:szCs w:val="24"/>
          <w:lang w:val="bg"/>
        </w:rPr>
        <w:lastRenderedPageBreak/>
        <w:t>запазва правото да използва инсталацията и че цялата произведена електроенергия се счита законно за собственост на потребителя на собствена</w:t>
      </w:r>
      <w:r w:rsidR="00367EEB">
        <w:rPr>
          <w:rFonts w:ascii="Times New Roman" w:hAnsi="Times New Roman" w:cs="Times New Roman"/>
          <w:sz w:val="24"/>
          <w:szCs w:val="24"/>
          <w:lang w:val="bg"/>
        </w:rPr>
        <w:t xml:space="preserve"> </w:t>
      </w:r>
      <w:r w:rsidRPr="00367EEB">
        <w:rPr>
          <w:rFonts w:ascii="Times New Roman" w:hAnsi="Times New Roman" w:cs="Times New Roman"/>
          <w:sz w:val="24"/>
          <w:szCs w:val="24"/>
          <w:lang w:val="bg"/>
        </w:rPr>
        <w:softHyphen/>
        <w:t>електроенергия.</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Тази разпоредба дава възможност за лизинг, споразумения за услуги и модели на собственост на трети страни, като улеснява достъпа на домакинствата и предприятията до енергия от възобновяеми източници без пряка собственост върху производствените активи. Законът обаче гарантира, че ползите и законните права, свързани с потреблението на собствена електроенергия, остават единствено за потребителя, което не позволява на трети страни да претендират за статут на потребители на собствена</w:t>
      </w:r>
      <w:r w:rsidR="00367EEB" w:rsidRPr="00367EEB">
        <w:rPr>
          <w:rFonts w:ascii="Times New Roman" w:hAnsi="Times New Roman" w:cs="Times New Roman"/>
          <w:sz w:val="24"/>
          <w:szCs w:val="24"/>
          <w:lang w:val="bg"/>
        </w:rPr>
        <w:t xml:space="preserve"> </w:t>
      </w:r>
      <w:r w:rsidRPr="00367EEB">
        <w:rPr>
          <w:rFonts w:ascii="Times New Roman" w:hAnsi="Times New Roman" w:cs="Times New Roman"/>
          <w:sz w:val="24"/>
          <w:szCs w:val="24"/>
          <w:lang w:val="bg"/>
        </w:rPr>
        <w:softHyphen/>
        <w:t>електроенергия.</w:t>
      </w: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7906A8" w:rsidRDefault="007906A8" w:rsidP="00367EEB">
      <w:pPr>
        <w:spacing w:line="276" w:lineRule="auto"/>
        <w:jc w:val="both"/>
        <w:rPr>
          <w:rFonts w:ascii="Times New Roman" w:hAnsi="Times New Roman" w:cs="Times New Roman"/>
          <w:i/>
          <w:color w:val="009999"/>
          <w:sz w:val="36"/>
          <w:szCs w:val="36"/>
          <w:lang w:val="bg"/>
        </w:rPr>
      </w:pPr>
      <w:r w:rsidRPr="00367EEB">
        <w:rPr>
          <w:rFonts w:ascii="Times New Roman" w:hAnsi="Times New Roman" w:cs="Times New Roman"/>
          <w:i/>
          <w:color w:val="009999"/>
          <w:sz w:val="36"/>
          <w:szCs w:val="36"/>
          <w:lang w:val="bg"/>
        </w:rPr>
        <w:t>Инсталацията на потребителите на собствена електроенергия от възобновяеми източници може да бъде притежавана или управлявана от трета страна</w:t>
      </w:r>
    </w:p>
    <w:p w:rsidR="00367EEB" w:rsidRDefault="00367EEB" w:rsidP="00367EEB">
      <w:pPr>
        <w:spacing w:line="276" w:lineRule="auto"/>
        <w:jc w:val="both"/>
        <w:rPr>
          <w:rFonts w:ascii="Times New Roman" w:hAnsi="Times New Roman" w:cs="Times New Roman"/>
          <w:i/>
          <w:color w:val="009999"/>
          <w:sz w:val="36"/>
          <w:szCs w:val="36"/>
          <w:lang w:val="bg"/>
        </w:rPr>
      </w:pPr>
    </w:p>
    <w:p w:rsidR="00367EEB" w:rsidRDefault="00367EEB" w:rsidP="00367EEB">
      <w:pPr>
        <w:spacing w:line="276" w:lineRule="auto"/>
        <w:jc w:val="both"/>
        <w:rPr>
          <w:rFonts w:ascii="Times New Roman" w:hAnsi="Times New Roman" w:cs="Times New Roman"/>
          <w:i/>
          <w:color w:val="009999"/>
          <w:sz w:val="36"/>
          <w:szCs w:val="36"/>
          <w:lang w:val="bg"/>
        </w:rPr>
      </w:pPr>
    </w:p>
    <w:p w:rsidR="00367EEB" w:rsidRDefault="00367EEB" w:rsidP="00367EEB">
      <w:pPr>
        <w:spacing w:line="276" w:lineRule="auto"/>
        <w:jc w:val="both"/>
        <w:rPr>
          <w:rFonts w:ascii="Times New Roman" w:hAnsi="Times New Roman" w:cs="Times New Roman"/>
          <w:i/>
          <w:color w:val="009999"/>
          <w:sz w:val="36"/>
          <w:szCs w:val="36"/>
          <w:lang w:val="bg"/>
        </w:rPr>
      </w:pPr>
    </w:p>
    <w:p w:rsidR="00367EEB" w:rsidRDefault="00367EEB"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FD3439" w:rsidRDefault="00FD3439" w:rsidP="00367EEB">
      <w:pPr>
        <w:spacing w:line="276" w:lineRule="auto"/>
        <w:jc w:val="both"/>
        <w:rPr>
          <w:rFonts w:ascii="Times New Roman" w:hAnsi="Times New Roman" w:cs="Times New Roman"/>
          <w:i/>
          <w:color w:val="009999"/>
          <w:sz w:val="36"/>
          <w:szCs w:val="36"/>
          <w:lang w:val="bg"/>
        </w:rPr>
      </w:pPr>
    </w:p>
    <w:p w:rsidR="00367EEB" w:rsidRPr="00367EEB" w:rsidRDefault="00367EEB" w:rsidP="00367EEB">
      <w:pPr>
        <w:spacing w:line="276" w:lineRule="auto"/>
        <w:jc w:val="both"/>
        <w:rPr>
          <w:rFonts w:ascii="Times New Roman" w:hAnsi="Times New Roman" w:cs="Times New Roman"/>
          <w:i/>
          <w:color w:val="009999"/>
          <w:sz w:val="36"/>
          <w:szCs w:val="36"/>
          <w:lang w:val="bg"/>
        </w:rPr>
      </w:pPr>
    </w:p>
    <w:p w:rsidR="007906A8" w:rsidRPr="007906A8" w:rsidRDefault="007906A8" w:rsidP="007906A8">
      <w:pPr>
        <w:rPr>
          <w:i/>
          <w:iCs/>
          <w:lang w:val="bg"/>
        </w:rPr>
      </w:pPr>
    </w:p>
    <w:p w:rsidR="007906A8" w:rsidRDefault="007906A8" w:rsidP="00B01311">
      <w:pPr>
        <w:pStyle w:val="Heading3"/>
        <w:numPr>
          <w:ilvl w:val="2"/>
          <w:numId w:val="185"/>
        </w:numPr>
        <w:spacing w:line="276" w:lineRule="auto"/>
        <w:jc w:val="both"/>
        <w:rPr>
          <w:rFonts w:ascii="Times New Roman" w:hAnsi="Times New Roman" w:cs="Times New Roman"/>
          <w:color w:val="009999"/>
          <w:sz w:val="28"/>
          <w:szCs w:val="28"/>
          <w:lang w:val="bg"/>
        </w:rPr>
      </w:pPr>
      <w:bookmarkStart w:id="52" w:name="_Toc203141265"/>
      <w:r w:rsidRPr="00367EEB">
        <w:rPr>
          <w:rFonts w:ascii="Times New Roman" w:hAnsi="Times New Roman" w:cs="Times New Roman"/>
          <w:noProof/>
          <w:color w:val="009999"/>
          <w:sz w:val="28"/>
          <w:szCs w:val="28"/>
          <w:lang w:val="bg-BG" w:eastAsia="bg-BG"/>
        </w:rPr>
        <w:lastRenderedPageBreak/>
        <w:drawing>
          <wp:anchor distT="177800" distB="177800" distL="177800" distR="177800" simplePos="0" relativeHeight="251669504" behindDoc="0" locked="0" layoutInCell="1" allowOverlap="1" wp14:anchorId="43EA5E82" wp14:editId="113882CA">
            <wp:simplePos x="0" y="0"/>
            <wp:positionH relativeFrom="page">
              <wp:posOffset>6108700</wp:posOffset>
            </wp:positionH>
            <wp:positionV relativeFrom="paragraph">
              <wp:posOffset>189230</wp:posOffset>
            </wp:positionV>
            <wp:extent cx="607695" cy="1060450"/>
            <wp:effectExtent l="0" t="0" r="1905" b="6350"/>
            <wp:wrapSquare wrapText="left"/>
            <wp:docPr id="35" name="Форма 35"/>
            <wp:cNvGraphicFramePr/>
            <a:graphic xmlns:a="http://schemas.openxmlformats.org/drawingml/2006/main">
              <a:graphicData uri="http://schemas.openxmlformats.org/drawingml/2006/picture">
                <pic:pic xmlns:pic="http://schemas.openxmlformats.org/drawingml/2006/picture">
                  <pic:nvPicPr>
                    <pic:cNvPr id="36" name="Кутия за снимки 36"/>
                    <pic:cNvPicPr/>
                  </pic:nvPicPr>
                  <pic:blipFill>
                    <a:blip r:embed="rId24"/>
                    <a:stretch/>
                  </pic:blipFill>
                  <pic:spPr>
                    <a:xfrm>
                      <a:off x="0" y="0"/>
                      <a:ext cx="607695" cy="1060450"/>
                    </a:xfrm>
                    <a:prstGeom prst="rect">
                      <a:avLst/>
                    </a:prstGeom>
                  </pic:spPr>
                </pic:pic>
              </a:graphicData>
            </a:graphic>
            <wp14:sizeRelH relativeFrom="margin">
              <wp14:pctWidth>0</wp14:pctWidth>
            </wp14:sizeRelH>
            <wp14:sizeRelV relativeFrom="margin">
              <wp14:pctHeight>0</wp14:pctHeight>
            </wp14:sizeRelV>
          </wp:anchor>
        </w:drawing>
      </w:r>
      <w:bookmarkStart w:id="53" w:name="bookmark218"/>
      <w:r w:rsidRPr="00367EEB">
        <w:rPr>
          <w:rFonts w:ascii="Times New Roman" w:hAnsi="Times New Roman" w:cs="Times New Roman"/>
          <w:color w:val="009999"/>
          <w:sz w:val="28"/>
          <w:szCs w:val="28"/>
          <w:lang w:val="bg"/>
        </w:rPr>
        <w:t>Гаранции за произход</w:t>
      </w:r>
      <w:bookmarkEnd w:id="52"/>
      <w:bookmarkEnd w:id="53"/>
    </w:p>
    <w:p w:rsidR="00082BFC" w:rsidRPr="00082BFC" w:rsidRDefault="00082BFC" w:rsidP="00082BFC">
      <w:pPr>
        <w:pStyle w:val="ListParagraph"/>
        <w:rPr>
          <w:lang w:val="bg"/>
        </w:rPr>
      </w:pPr>
    </w:p>
    <w:p w:rsidR="007906A8" w:rsidRPr="00367EEB" w:rsidRDefault="007906A8" w:rsidP="00367EEB">
      <w:pPr>
        <w:spacing w:line="276" w:lineRule="auto"/>
        <w:jc w:val="both"/>
        <w:rPr>
          <w:rFonts w:ascii="Times New Roman" w:hAnsi="Times New Roman" w:cs="Times New Roman"/>
          <w:sz w:val="24"/>
          <w:szCs w:val="24"/>
          <w:lang w:val="bg"/>
        </w:rPr>
      </w:pPr>
      <w:bookmarkStart w:id="54" w:name="bookmark220"/>
      <w:r w:rsidRPr="00367EEB">
        <w:rPr>
          <w:rFonts w:ascii="Times New Roman" w:hAnsi="Times New Roman" w:cs="Times New Roman"/>
          <w:sz w:val="24"/>
          <w:szCs w:val="24"/>
          <w:lang w:val="bg"/>
        </w:rPr>
        <w:t xml:space="preserve">В България гаранциите за произход (ГП) за електрическа енергия </w:t>
      </w:r>
      <w:r w:rsidRPr="00367EEB">
        <w:rPr>
          <w:rFonts w:ascii="Times New Roman" w:hAnsi="Times New Roman" w:cs="Times New Roman"/>
          <w:b/>
          <w:bCs/>
          <w:sz w:val="24"/>
          <w:szCs w:val="24"/>
          <w:lang w:val="bg"/>
        </w:rPr>
        <w:t>от възобновяеми източници се издават и управляват от АУЕР</w:t>
      </w:r>
      <w:r w:rsidRPr="00367EEB">
        <w:rPr>
          <w:rFonts w:ascii="Times New Roman" w:hAnsi="Times New Roman" w:cs="Times New Roman"/>
          <w:sz w:val="24"/>
          <w:szCs w:val="24"/>
          <w:lang w:val="bg"/>
        </w:rPr>
        <w:t xml:space="preserve"> в съответствие с член 43 от Закона за ВЕИ (ЗЕВИ). Тази система гарантира, че електроенергията, произведена от възобновяеми източници, може да бъде сертифицирана и търгувана, като осигурява прозрачност и надеждност на пазара на зелена енергия. Издаването на гаранции за произход следва структуриран процес, включващ множество участници, включително производители на енергия от възобновяеми източници, оператори на разпределителни системи, оператори на разпределителни системи и търговци на енергия.</w:t>
      </w:r>
      <w:bookmarkEnd w:id="54"/>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За да получи </w:t>
      </w:r>
      <w:r w:rsidRPr="00367EEB">
        <w:rPr>
          <w:rFonts w:ascii="Times New Roman" w:hAnsi="Times New Roman" w:cs="Times New Roman"/>
          <w:sz w:val="24"/>
          <w:szCs w:val="24"/>
          <w:lang w:val="bg-BG"/>
        </w:rPr>
        <w:t>ГП</w:t>
      </w:r>
      <w:r w:rsidRPr="00367EEB">
        <w:rPr>
          <w:rFonts w:ascii="Times New Roman" w:hAnsi="Times New Roman" w:cs="Times New Roman"/>
          <w:sz w:val="24"/>
          <w:szCs w:val="24"/>
          <w:lang w:val="bg"/>
        </w:rPr>
        <w:t xml:space="preserve">, </w:t>
      </w:r>
      <w:r w:rsidRPr="00367EEB">
        <w:rPr>
          <w:rFonts w:ascii="Times New Roman" w:hAnsi="Times New Roman" w:cs="Times New Roman"/>
          <w:b/>
          <w:bCs/>
          <w:sz w:val="24"/>
          <w:szCs w:val="24"/>
          <w:lang w:val="bg"/>
        </w:rPr>
        <w:t xml:space="preserve">производителят на енергия от възобновяеми източници трябва да подаде заявление </w:t>
      </w:r>
      <w:r w:rsidRPr="00367EEB">
        <w:rPr>
          <w:rFonts w:ascii="Times New Roman" w:hAnsi="Times New Roman" w:cs="Times New Roman"/>
          <w:sz w:val="24"/>
          <w:szCs w:val="24"/>
          <w:lang w:val="bg"/>
        </w:rPr>
        <w:t>до АУЕР. Това заявление може да обхваща един или повече календарни месеца, но трябва да бъде подадено не по-късно от един месец след края на периода на производство. Заявлението трябва да включва подробна информация за съоръжението за производство на електроенергия, включително неговата инсталирана мощност, вид технология, географско местоположение и подробности за присъединяването към мрежата. Освен това производителят трябва да предостави данни от измерването, които проверяват количеството произведена електроенергия от възобновяеми източници. ОРС и ЕОС играят ключова роля в този процес, като предоставят официални данни за производството и впръскването на електроенергия в мрежата, гарантират точност и предотвратяват измамни искове.</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 xml:space="preserve">След подаване на заявлението АУЕР преглежда документацията и проверява записите за производство на енергия. Ако са изпълнени всички изисквания, агенцията издава </w:t>
      </w:r>
      <w:r w:rsidRPr="00367EEB">
        <w:rPr>
          <w:rFonts w:ascii="Times New Roman" w:hAnsi="Times New Roman" w:cs="Times New Roman"/>
          <w:b/>
          <w:bCs/>
          <w:sz w:val="24"/>
          <w:szCs w:val="24"/>
          <w:lang w:val="bg"/>
        </w:rPr>
        <w:t xml:space="preserve">едно GO за мегаватчас </w:t>
      </w:r>
      <w:r w:rsidRPr="00367EEB">
        <w:rPr>
          <w:rFonts w:ascii="Times New Roman" w:hAnsi="Times New Roman" w:cs="Times New Roman"/>
          <w:sz w:val="24"/>
          <w:szCs w:val="24"/>
          <w:lang w:val="bg"/>
        </w:rPr>
        <w:t>(MWh) сертифицирана електроенергия от възобновяеми източници. Тези сертификати се вписват в електронен регистър, поддържан от АУЕР, който осигурява прозрачност и дава възможност на производителите да прехвърлят, продават или изкупуват ГП в съответствие с пазарното търсене. Търговците на енергия и корпоративните потребители често купуват тези сертификати, за да докажат спазването на ангажиментите за енергия от възобновяеми източници или целите за устойчивост. След като бъде използвано ПЗ, то се маркира като осребрено в националния регистър, за да се предотврати двойното отчитане.</w:t>
      </w: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Правната рамка, уреждаща системата за гаранции за произход, определя ролите и отговорностите на всички участващи страни. АУЕР отговаря за издаването, управлението и надзора на системата за гаранции за произход, като гарантира, че производителите на енергия от възобновяеми източници спазват националните и европейските разпоредби. Производителите на енергия от възобновяеми източници трябва да кандидатстват за сертифициране и да гарантират точно докладване на данните, докато ОРС и ЕОС отговарят за проверката на данните за производството и предоставянето на записи от измерването. Търговците на енергия и корпоративните потребители участват на вторичния пазар, като купуват и продават ГП или като доказателство за потребление на енергия от възобновяеми източници, или като част от договорните задължения за устойчивост.</w:t>
      </w:r>
    </w:p>
    <w:p w:rsidR="007906A8"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lastRenderedPageBreak/>
        <w:t xml:space="preserve">Въпреки съществуването на тази система за сертифициране остават </w:t>
      </w:r>
      <w:r w:rsidRPr="00367EEB">
        <w:rPr>
          <w:rFonts w:ascii="Times New Roman" w:hAnsi="Times New Roman" w:cs="Times New Roman"/>
          <w:b/>
          <w:bCs/>
          <w:sz w:val="24"/>
          <w:szCs w:val="24"/>
          <w:lang w:val="bg"/>
        </w:rPr>
        <w:t xml:space="preserve">няколко предизвикателства. </w:t>
      </w:r>
      <w:r w:rsidRPr="00367EEB">
        <w:rPr>
          <w:rFonts w:ascii="Times New Roman" w:hAnsi="Times New Roman" w:cs="Times New Roman"/>
          <w:sz w:val="24"/>
          <w:szCs w:val="24"/>
          <w:lang w:val="bg"/>
        </w:rPr>
        <w:t xml:space="preserve"> Те включват забавяния при обработването на заявленията, липса на осведоменост сред по-малките производители и липса на автоматизирана интеграция между ОРС, </w:t>
      </w:r>
      <w:r w:rsidRPr="00367EEB">
        <w:rPr>
          <w:rFonts w:ascii="Times New Roman" w:hAnsi="Times New Roman" w:cs="Times New Roman"/>
          <w:sz w:val="24"/>
          <w:szCs w:val="24"/>
          <w:lang w:val="bg-BG"/>
        </w:rPr>
        <w:t>ЕСО</w:t>
      </w:r>
      <w:r w:rsidRPr="00367EEB">
        <w:rPr>
          <w:rFonts w:ascii="Times New Roman" w:hAnsi="Times New Roman" w:cs="Times New Roman"/>
          <w:sz w:val="24"/>
          <w:szCs w:val="24"/>
          <w:lang w:val="bg"/>
        </w:rPr>
        <w:t xml:space="preserve"> и АУЕР за обмен на данни в реално време. Решаването на тези въпроси би могло да подобри ефективността на емитирането на </w:t>
      </w:r>
      <w:r w:rsidRPr="00367EEB">
        <w:rPr>
          <w:rFonts w:ascii="Times New Roman" w:hAnsi="Times New Roman" w:cs="Times New Roman"/>
          <w:sz w:val="24"/>
          <w:szCs w:val="24"/>
          <w:lang w:val="bg-BG"/>
        </w:rPr>
        <w:t>ГП</w:t>
      </w:r>
      <w:r w:rsidRPr="00367EEB">
        <w:rPr>
          <w:rFonts w:ascii="Times New Roman" w:hAnsi="Times New Roman" w:cs="Times New Roman"/>
          <w:sz w:val="24"/>
          <w:szCs w:val="24"/>
          <w:lang w:val="bg"/>
        </w:rPr>
        <w:t xml:space="preserve"> и да улесни по-широкото участие на пазара на енергия от възобновяеми източници. И все пак можем да заключим, че има рационализирана процедура и платформата за данни, необходима за виртуалното измерване и последователното фактуриране на енергийните общности и произвеждащите потребители, не изисква автоматизация и свързване с платформа, управлявана от АУЕР - тя може да се разглежда в бъдеще за удобство и в рамките на решението за обслужване на едно гише, но понастоящем не е пречка за съществуването и функционирането на енергийните общности.</w:t>
      </w:r>
    </w:p>
    <w:p w:rsidR="00367EEB" w:rsidRPr="00367EEB" w:rsidRDefault="00367EEB" w:rsidP="00367EEB">
      <w:pPr>
        <w:spacing w:line="276" w:lineRule="auto"/>
        <w:jc w:val="both"/>
        <w:rPr>
          <w:rFonts w:ascii="Times New Roman" w:hAnsi="Times New Roman" w:cs="Times New Roman"/>
          <w:sz w:val="24"/>
          <w:szCs w:val="24"/>
          <w:lang w:val="bg"/>
        </w:rPr>
      </w:pPr>
    </w:p>
    <w:p w:rsidR="007906A8" w:rsidRDefault="007906A8" w:rsidP="00367EEB">
      <w:pPr>
        <w:jc w:val="center"/>
        <w:rPr>
          <w:lang w:val="bg"/>
        </w:rPr>
      </w:pPr>
      <w:r w:rsidRPr="007906A8">
        <w:rPr>
          <w:noProof/>
          <w:lang w:val="bg-BG" w:eastAsia="bg-BG"/>
        </w:rPr>
        <w:drawing>
          <wp:inline distT="0" distB="0" distL="0" distR="0" wp14:anchorId="3FFE2AFE" wp14:editId="14C4212D">
            <wp:extent cx="2447925" cy="1495425"/>
            <wp:effectExtent l="0" t="0" r="9525" b="9525"/>
            <wp:docPr id="37" name="Пикутър 37"/>
            <wp:cNvGraphicFramePr/>
            <a:graphic xmlns:a="http://schemas.openxmlformats.org/drawingml/2006/main">
              <a:graphicData uri="http://schemas.openxmlformats.org/drawingml/2006/picture">
                <pic:pic xmlns:pic="http://schemas.openxmlformats.org/drawingml/2006/picture">
                  <pic:nvPicPr>
                    <pic:cNvPr id="37" name="Снимка 37"/>
                    <pic:cNvPicPr/>
                  </pic:nvPicPr>
                  <pic:blipFill>
                    <a:blip r:embed="rId25"/>
                    <a:stretch/>
                  </pic:blipFill>
                  <pic:spPr>
                    <a:xfrm>
                      <a:off x="0" y="0"/>
                      <a:ext cx="2447925" cy="1495425"/>
                    </a:xfrm>
                    <a:prstGeom prst="rect">
                      <a:avLst/>
                    </a:prstGeom>
                  </pic:spPr>
                </pic:pic>
              </a:graphicData>
            </a:graphic>
          </wp:inline>
        </w:drawing>
      </w:r>
    </w:p>
    <w:p w:rsidR="00367EEB" w:rsidRPr="007906A8" w:rsidRDefault="00367EEB" w:rsidP="00367EEB">
      <w:pPr>
        <w:jc w:val="center"/>
        <w:rPr>
          <w:lang w:val="bg"/>
        </w:rPr>
      </w:pPr>
    </w:p>
    <w:p w:rsidR="007906A8" w:rsidRDefault="00082BFC" w:rsidP="00B01311">
      <w:pPr>
        <w:pStyle w:val="Heading3"/>
        <w:numPr>
          <w:ilvl w:val="2"/>
          <w:numId w:val="185"/>
        </w:numPr>
        <w:spacing w:line="276" w:lineRule="auto"/>
        <w:jc w:val="both"/>
        <w:rPr>
          <w:rFonts w:ascii="Times New Roman" w:hAnsi="Times New Roman" w:cs="Times New Roman"/>
          <w:color w:val="009999"/>
          <w:sz w:val="28"/>
          <w:szCs w:val="28"/>
          <w:lang w:val="bg"/>
        </w:rPr>
      </w:pPr>
      <w:bookmarkStart w:id="55" w:name="bookmark222"/>
      <w:bookmarkStart w:id="56" w:name="bookmark221"/>
      <w:r>
        <w:rPr>
          <w:rFonts w:ascii="Times New Roman" w:hAnsi="Times New Roman" w:cs="Times New Roman"/>
          <w:color w:val="009999"/>
          <w:sz w:val="28"/>
          <w:szCs w:val="28"/>
          <w:lang w:val="bg"/>
        </w:rPr>
        <w:t xml:space="preserve"> </w:t>
      </w:r>
      <w:bookmarkStart w:id="57" w:name="_Toc203141266"/>
      <w:r w:rsidR="007906A8" w:rsidRPr="00367EEB">
        <w:rPr>
          <w:rFonts w:ascii="Times New Roman" w:hAnsi="Times New Roman" w:cs="Times New Roman"/>
          <w:color w:val="009999"/>
          <w:sz w:val="28"/>
          <w:szCs w:val="28"/>
          <w:lang w:val="bg"/>
        </w:rPr>
        <w:t>Обща регулаторна рамка за присъединяване към мрежата и изграждане на малки инсталации за енергия от възобновяеми източници</w:t>
      </w:r>
      <w:bookmarkEnd w:id="55"/>
      <w:bookmarkEnd w:id="56"/>
      <w:bookmarkEnd w:id="57"/>
    </w:p>
    <w:p w:rsidR="00082BFC" w:rsidRPr="00082BFC" w:rsidRDefault="00082BFC" w:rsidP="00082BFC">
      <w:pPr>
        <w:pStyle w:val="ListParagraph"/>
        <w:rPr>
          <w:lang w:val="bg"/>
        </w:rPr>
      </w:pPr>
    </w:p>
    <w:p w:rsidR="007906A8" w:rsidRPr="00367EEB" w:rsidRDefault="007906A8" w:rsidP="00367EEB">
      <w:pPr>
        <w:spacing w:line="276" w:lineRule="auto"/>
        <w:jc w:val="both"/>
        <w:rPr>
          <w:rFonts w:ascii="Times New Roman" w:hAnsi="Times New Roman" w:cs="Times New Roman"/>
          <w:sz w:val="24"/>
          <w:szCs w:val="24"/>
          <w:lang w:val="bg"/>
        </w:rPr>
      </w:pPr>
      <w:r w:rsidRPr="00367EEB">
        <w:rPr>
          <w:rFonts w:ascii="Times New Roman" w:hAnsi="Times New Roman" w:cs="Times New Roman"/>
          <w:sz w:val="24"/>
          <w:szCs w:val="24"/>
          <w:lang w:val="bg"/>
        </w:rPr>
        <w:t>Законът за ВЕИ (ЗЕВИ) и Законът за енергетиката (ЗЕ) осигуряват основната законодателна рамка за свързване на малки инсталации за възобновяема енергия към мрежата в България. Тези регламенти претърпяха изменения през последните години, за да се опростят процедурите, особено за малките фотоволтаични системи, предназначени за собствено потребление.</w:t>
      </w:r>
    </w:p>
    <w:p w:rsidR="007906A8" w:rsidRPr="009C72EB" w:rsidRDefault="007906A8" w:rsidP="00B01311">
      <w:pPr>
        <w:pStyle w:val="ListParagraph"/>
        <w:numPr>
          <w:ilvl w:val="0"/>
          <w:numId w:val="61"/>
        </w:numPr>
        <w:rPr>
          <w:rFonts w:ascii="Times New Roman" w:hAnsi="Times New Roman" w:cs="Times New Roman"/>
          <w:sz w:val="24"/>
          <w:szCs w:val="24"/>
          <w:lang w:val="bg"/>
        </w:rPr>
      </w:pPr>
      <w:r w:rsidRPr="009C72EB">
        <w:rPr>
          <w:rFonts w:ascii="Times New Roman" w:hAnsi="Times New Roman" w:cs="Times New Roman"/>
          <w:b/>
          <w:bCs/>
          <w:sz w:val="24"/>
          <w:szCs w:val="24"/>
          <w:lang w:val="bg"/>
        </w:rPr>
        <w:t>Инсталации с мощност до 20 kW (само за собствено потребление):</w:t>
      </w:r>
    </w:p>
    <w:p w:rsidR="009C72EB" w:rsidRDefault="007906A8" w:rsidP="00B01311">
      <w:pPr>
        <w:pStyle w:val="ListParagraph"/>
        <w:numPr>
          <w:ilvl w:val="0"/>
          <w:numId w:val="62"/>
        </w:numPr>
        <w:jc w:val="both"/>
        <w:rPr>
          <w:rFonts w:ascii="Times New Roman" w:hAnsi="Times New Roman" w:cs="Times New Roman"/>
          <w:sz w:val="24"/>
          <w:szCs w:val="24"/>
          <w:lang w:val="bg"/>
        </w:rPr>
      </w:pPr>
      <w:r w:rsidRPr="009C72EB">
        <w:rPr>
          <w:rFonts w:ascii="Times New Roman" w:hAnsi="Times New Roman" w:cs="Times New Roman"/>
          <w:sz w:val="24"/>
          <w:szCs w:val="24"/>
          <w:lang w:val="bg"/>
        </w:rPr>
        <w:t>Не се изисква разрешение за строеж, ако са монтирани на еднофамилни жилищни или вилни сгради или в прилежаща земя.</w:t>
      </w:r>
    </w:p>
    <w:p w:rsidR="007906A8" w:rsidRPr="009C72EB" w:rsidRDefault="007906A8" w:rsidP="00B01311">
      <w:pPr>
        <w:pStyle w:val="ListParagraph"/>
        <w:numPr>
          <w:ilvl w:val="0"/>
          <w:numId w:val="62"/>
        </w:numPr>
        <w:jc w:val="both"/>
        <w:rPr>
          <w:rFonts w:ascii="Times New Roman" w:hAnsi="Times New Roman" w:cs="Times New Roman"/>
          <w:sz w:val="24"/>
          <w:szCs w:val="24"/>
          <w:lang w:val="bg"/>
        </w:rPr>
      </w:pPr>
      <w:r w:rsidRPr="009C72EB">
        <w:rPr>
          <w:rFonts w:ascii="Times New Roman" w:hAnsi="Times New Roman" w:cs="Times New Roman"/>
          <w:sz w:val="24"/>
          <w:szCs w:val="24"/>
          <w:lang w:val="bg"/>
        </w:rPr>
        <w:t>Процесът на свързване към мрежата е опростен: собственикът подава уведомление до мрежовия оператор и подписва изменение на съществуващия си договор за доставка.</w:t>
      </w:r>
    </w:p>
    <w:p w:rsidR="007906A8" w:rsidRPr="009C72EB" w:rsidRDefault="007906A8" w:rsidP="00B01311">
      <w:pPr>
        <w:pStyle w:val="ListParagraph"/>
        <w:numPr>
          <w:ilvl w:val="0"/>
          <w:numId w:val="61"/>
        </w:numPr>
        <w:spacing w:line="276" w:lineRule="auto"/>
        <w:jc w:val="both"/>
        <w:rPr>
          <w:rFonts w:ascii="Times New Roman" w:hAnsi="Times New Roman" w:cs="Times New Roman"/>
          <w:sz w:val="24"/>
          <w:szCs w:val="24"/>
          <w:lang w:val="bg"/>
        </w:rPr>
      </w:pPr>
      <w:r w:rsidRPr="009C72EB">
        <w:rPr>
          <w:rFonts w:ascii="Times New Roman" w:hAnsi="Times New Roman" w:cs="Times New Roman"/>
          <w:b/>
          <w:bCs/>
          <w:sz w:val="24"/>
          <w:szCs w:val="24"/>
          <w:lang w:val="bg"/>
        </w:rPr>
        <w:t>Инсталации с мощност между 20 kW и 50 kW (само за собствено потребление):</w:t>
      </w:r>
    </w:p>
    <w:p w:rsidR="009C72EB" w:rsidRPr="009C72EB" w:rsidRDefault="007906A8" w:rsidP="00B01311">
      <w:pPr>
        <w:pStyle w:val="ListParagraph"/>
        <w:numPr>
          <w:ilvl w:val="0"/>
          <w:numId w:val="63"/>
        </w:numPr>
        <w:spacing w:line="276" w:lineRule="auto"/>
        <w:jc w:val="both"/>
        <w:rPr>
          <w:rFonts w:ascii="Times New Roman" w:hAnsi="Times New Roman" w:cs="Times New Roman"/>
          <w:sz w:val="24"/>
          <w:szCs w:val="24"/>
          <w:lang w:val="bg"/>
        </w:rPr>
      </w:pPr>
      <w:r w:rsidRPr="009C72EB">
        <w:rPr>
          <w:rFonts w:ascii="Times New Roman" w:hAnsi="Times New Roman" w:cs="Times New Roman"/>
          <w:sz w:val="24"/>
          <w:szCs w:val="24"/>
          <w:lang w:val="bg"/>
        </w:rPr>
        <w:t>Прилага се правилото за мълчаливо съгласие: ако общинският архитект не отговори в едномесечен срок, разрешението за строеж се счита за издадено (чл. 17, ал. 5 от ЗЕВИ).</w:t>
      </w:r>
    </w:p>
    <w:p w:rsidR="009C72EB" w:rsidRDefault="007906A8" w:rsidP="00B01311">
      <w:pPr>
        <w:pStyle w:val="ListParagraph"/>
        <w:numPr>
          <w:ilvl w:val="0"/>
          <w:numId w:val="63"/>
        </w:numPr>
        <w:spacing w:line="276" w:lineRule="auto"/>
        <w:jc w:val="both"/>
        <w:rPr>
          <w:rFonts w:ascii="Times New Roman" w:hAnsi="Times New Roman" w:cs="Times New Roman"/>
          <w:sz w:val="24"/>
          <w:szCs w:val="24"/>
          <w:lang w:val="bg"/>
        </w:rPr>
      </w:pPr>
      <w:r w:rsidRPr="009C72EB">
        <w:rPr>
          <w:rFonts w:ascii="Times New Roman" w:hAnsi="Times New Roman" w:cs="Times New Roman"/>
          <w:sz w:val="24"/>
          <w:szCs w:val="24"/>
          <w:lang w:val="bg"/>
        </w:rPr>
        <w:t>Общата инсталирана мощност не трябва да надвишава капацитета за присъединяване към мрежата, разпределен за сградата.</w:t>
      </w:r>
    </w:p>
    <w:p w:rsidR="007906A8" w:rsidRPr="009C72EB" w:rsidRDefault="007906A8" w:rsidP="00B01311">
      <w:pPr>
        <w:pStyle w:val="ListParagraph"/>
        <w:numPr>
          <w:ilvl w:val="0"/>
          <w:numId w:val="61"/>
        </w:numPr>
        <w:spacing w:line="276" w:lineRule="auto"/>
        <w:jc w:val="both"/>
        <w:rPr>
          <w:rFonts w:ascii="Times New Roman" w:hAnsi="Times New Roman" w:cs="Times New Roman"/>
          <w:sz w:val="24"/>
          <w:szCs w:val="24"/>
          <w:lang w:val="bg"/>
        </w:rPr>
      </w:pPr>
      <w:r w:rsidRPr="009C72EB">
        <w:rPr>
          <w:rFonts w:ascii="Times New Roman" w:hAnsi="Times New Roman" w:cs="Times New Roman"/>
          <w:b/>
          <w:bCs/>
          <w:sz w:val="24"/>
          <w:szCs w:val="24"/>
          <w:lang w:val="bg"/>
        </w:rPr>
        <w:lastRenderedPageBreak/>
        <w:t>Инсталации с мощност над 50 kW или такива, които продават излишна енергия:</w:t>
      </w:r>
    </w:p>
    <w:p w:rsidR="007906A8" w:rsidRPr="0086246F"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Прилага се пълен административен процес, включително разрешение за строеж и споразумение за присъединяване към мрежата с ОРС.</w:t>
      </w:r>
    </w:p>
    <w:p w:rsidR="007906A8" w:rsidRPr="0086246F" w:rsidRDefault="007906A8" w:rsidP="00B01311">
      <w:pPr>
        <w:pStyle w:val="ListParagraph"/>
        <w:numPr>
          <w:ilvl w:val="0"/>
          <w:numId w:val="61"/>
        </w:numPr>
        <w:spacing w:line="276" w:lineRule="auto"/>
        <w:jc w:val="both"/>
        <w:rPr>
          <w:rFonts w:ascii="Times New Roman" w:hAnsi="Times New Roman" w:cs="Times New Roman"/>
          <w:sz w:val="24"/>
          <w:szCs w:val="24"/>
          <w:lang w:val="bg"/>
        </w:rPr>
      </w:pPr>
      <w:r w:rsidRPr="0086246F">
        <w:rPr>
          <w:rFonts w:ascii="Times New Roman" w:hAnsi="Times New Roman" w:cs="Times New Roman"/>
          <w:b/>
          <w:bCs/>
          <w:sz w:val="24"/>
          <w:szCs w:val="24"/>
          <w:lang w:val="bg"/>
        </w:rPr>
        <w:t>Общ процес на присъединяване към мрежата за малки инсталации за ВЕИ:</w:t>
      </w:r>
    </w:p>
    <w:p w:rsidR="009C72EB" w:rsidRPr="0086246F"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Заявление до оператора на разпределителна система за проучване на осъществимостта на присъединяването.</w:t>
      </w:r>
    </w:p>
    <w:p w:rsidR="009C72EB" w:rsidRPr="0086246F"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Техническа оценка и издаване на условия за присъединяване.</w:t>
      </w:r>
    </w:p>
    <w:p w:rsidR="009C72EB" w:rsidRPr="0086246F"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Сключване на предварителен договор за присъединяване (валиден за две години).</w:t>
      </w:r>
    </w:p>
    <w:p w:rsidR="009C72EB" w:rsidRPr="0086246F"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Изграждане на инсталацията и необходимата мрежова инфраструктура.</w:t>
      </w:r>
    </w:p>
    <w:p w:rsidR="007906A8" w:rsidRDefault="007906A8" w:rsidP="00B01311">
      <w:pPr>
        <w:pStyle w:val="ListParagraph"/>
        <w:numPr>
          <w:ilvl w:val="0"/>
          <w:numId w:val="64"/>
        </w:num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Подписване на окончателен договор за присъединяване и интегриране в мрежата.</w:t>
      </w:r>
    </w:p>
    <w:p w:rsidR="0086246F" w:rsidRPr="0086246F" w:rsidRDefault="0086246F" w:rsidP="00E45BCB">
      <w:pPr>
        <w:pStyle w:val="ListParagraph"/>
        <w:spacing w:line="276" w:lineRule="auto"/>
        <w:ind w:left="2421"/>
        <w:jc w:val="both"/>
        <w:rPr>
          <w:rFonts w:ascii="Times New Roman" w:hAnsi="Times New Roman" w:cs="Times New Roman"/>
          <w:sz w:val="24"/>
          <w:szCs w:val="24"/>
          <w:lang w:val="bg"/>
        </w:rPr>
      </w:pPr>
    </w:p>
    <w:p w:rsidR="007906A8" w:rsidRDefault="00082BFC" w:rsidP="00B01311">
      <w:pPr>
        <w:pStyle w:val="Heading3"/>
        <w:numPr>
          <w:ilvl w:val="2"/>
          <w:numId w:val="185"/>
        </w:numPr>
        <w:spacing w:line="276" w:lineRule="auto"/>
        <w:jc w:val="both"/>
        <w:rPr>
          <w:rFonts w:ascii="Times New Roman" w:hAnsi="Times New Roman" w:cs="Times New Roman"/>
          <w:color w:val="009999"/>
          <w:sz w:val="28"/>
          <w:szCs w:val="28"/>
          <w:lang w:val="bg"/>
        </w:rPr>
      </w:pPr>
      <w:bookmarkStart w:id="58" w:name="bookmark225"/>
      <w:bookmarkStart w:id="59" w:name="bookmark224"/>
      <w:r>
        <w:rPr>
          <w:rFonts w:ascii="Times New Roman" w:hAnsi="Times New Roman" w:cs="Times New Roman"/>
          <w:color w:val="009999"/>
          <w:sz w:val="28"/>
          <w:szCs w:val="28"/>
          <w:lang w:val="bg"/>
        </w:rPr>
        <w:t xml:space="preserve"> </w:t>
      </w:r>
      <w:bookmarkStart w:id="60" w:name="_Toc203141267"/>
      <w:r w:rsidR="007906A8" w:rsidRPr="0086246F">
        <w:rPr>
          <w:rFonts w:ascii="Times New Roman" w:hAnsi="Times New Roman" w:cs="Times New Roman"/>
          <w:color w:val="009999"/>
          <w:sz w:val="28"/>
          <w:szCs w:val="28"/>
          <w:lang w:val="bg"/>
        </w:rPr>
        <w:t>Микромрежи в България: регулаторна рамка и предизвикателства</w:t>
      </w:r>
      <w:bookmarkEnd w:id="58"/>
      <w:bookmarkEnd w:id="59"/>
      <w:bookmarkEnd w:id="60"/>
    </w:p>
    <w:p w:rsidR="00082BFC" w:rsidRPr="00082BFC" w:rsidRDefault="00082BFC" w:rsidP="00082BFC">
      <w:pPr>
        <w:pStyle w:val="ListParagraph"/>
        <w:rPr>
          <w:lang w:val="bg"/>
        </w:rPr>
      </w:pPr>
    </w:p>
    <w:p w:rsidR="007906A8" w:rsidRPr="0086246F" w:rsidRDefault="007906A8" w:rsidP="0086246F">
      <w:p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Към момента на последните законодателни актуализации България все още не разполага с всеобхватна или опростена регулаторна рамка, уреждаща изграждането и използването на вътрешна електроенергийна инфраструктура за споделяне на енергия в рамките на енергийните общности — обикновено наричани микромрежи. Понастоящем за такива мрежи се прилагат общите правила за строителство и правилата за изграждане на електропреносна инфраструктура, което означава, че не съществуват специални разпоредби за улесняване на тяхното развитие. Освен това не са въведени специфични правни механизми за балансиране на производството и потреблението на електроенергия в енергийните общности, което означава, че общите пазарни правила все още се прилагат за техните операции.</w:t>
      </w:r>
    </w:p>
    <w:p w:rsidR="007906A8" w:rsidRPr="0086246F" w:rsidRDefault="007906A8" w:rsidP="0086246F">
      <w:p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Както Директивата на ЕС за енергията от възобновяеми източници (2018/2001), така и Директивата за вътрешния пазар на електроенергия (2019/944) подкрепят споделянето на енергия в рамките на общностите, включително използването на микромрежи или вътрешни електроразпределителни системи. България обаче все още не е транспонирала конкретни правила, които дават възможност на общностите да създават локализирани интелигентни мрежи за ефективно разпределение на енергия, без да разчитат на обществената мрежа. Това представлява пропусната възможност, особено като се има предвид нежеланието на националните оператори на мрежи да инвестират в разпределена инфраструктура, което в противен случай би могло да насърчи развитието на локализирани интелигентни мрежи.</w:t>
      </w:r>
    </w:p>
    <w:p w:rsidR="007906A8" w:rsidRPr="0086246F" w:rsidRDefault="007906A8" w:rsidP="0086246F">
      <w:p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 xml:space="preserve">Един забележителен правен напредък обаче е въвеждането на член 64, параграф 11 от Закона за ВЕИ (ЗЕВИ). Тази разпоредба улеснява разширяването на съществуващите и изграждането на нови съоръжения за енергия от възобновяеми източници чрез предоставяне на законни права на сервитут за линейна енергийна инфраструктура (като електропроводи) за преминаване през частни имоти. Това изменение не позволява на съседните собственици на земя да блокират разширяването на преносните линии, като гарантират, че инвеститорите </w:t>
      </w:r>
      <w:r w:rsidRPr="0086246F">
        <w:rPr>
          <w:rFonts w:ascii="Times New Roman" w:hAnsi="Times New Roman" w:cs="Times New Roman"/>
          <w:sz w:val="24"/>
          <w:szCs w:val="24"/>
          <w:lang w:val="bg"/>
        </w:rPr>
        <w:lastRenderedPageBreak/>
        <w:t>в проекти за енергия от възобновяеми източници могат да установят необходимите мрежови връзки без неоправдано забавяне. Преди това правата на сервитут бяха признавани само за разширяване или изграждане на инфраструктура на обществената мрежа, но актуализираният член 64 сега разширява тези права до частни разработки за възобновяема енергия.</w:t>
      </w:r>
    </w:p>
    <w:p w:rsidR="007906A8" w:rsidRPr="0086246F" w:rsidRDefault="007906A8" w:rsidP="0086246F">
      <w:pPr>
        <w:spacing w:line="276" w:lineRule="auto"/>
        <w:jc w:val="both"/>
        <w:rPr>
          <w:rFonts w:ascii="Times New Roman" w:hAnsi="Times New Roman" w:cs="Times New Roman"/>
          <w:sz w:val="24"/>
          <w:szCs w:val="24"/>
          <w:lang w:val="bg"/>
        </w:rPr>
      </w:pPr>
      <w:r w:rsidRPr="0086246F">
        <w:rPr>
          <w:rFonts w:ascii="Times New Roman" w:hAnsi="Times New Roman" w:cs="Times New Roman"/>
          <w:sz w:val="24"/>
          <w:szCs w:val="24"/>
          <w:lang w:val="bg"/>
        </w:rPr>
        <w:t>Въпреки тази положителна регулаторна промяна липсата на специална рамка за микромрежи продължава да бъде значителна пречка. Понастоящем енергийните общности не могат да изграждат и експлоатират свои собствени вътрешни мрежи по опростени процедури, нито имат ясни правила за самобалансиране и вътрешна търговия. За да може България да се приведе в съответствие с най-добрите практики на ЕС, бъдещите правни реформи следва изрично да определят собствеността върху микромрежите, отговорностите за балансиране на мрежата и достъпа до публична мрежова инфраструктура, като се гарантира, че енергийните общности могат ефективно да споделят и разпределят своята местно произведена енергия от възобновяеми източници.</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Нито един от общностните модели (REC и CEC), разгледани в българското законодателство, няма специална рамка за свързване към мрежата, което води до няколко правни пропуски и практически предизвикателства:</w:t>
      </w:r>
    </w:p>
    <w:p w:rsidR="007906A8" w:rsidRPr="00F63736" w:rsidRDefault="007906A8" w:rsidP="00B01311">
      <w:pPr>
        <w:numPr>
          <w:ilvl w:val="0"/>
          <w:numId w:val="48"/>
        </w:numPr>
        <w:spacing w:line="276" w:lineRule="auto"/>
        <w:jc w:val="both"/>
        <w:rPr>
          <w:rFonts w:ascii="Times New Roman" w:hAnsi="Times New Roman" w:cs="Times New Roman"/>
          <w:sz w:val="24"/>
          <w:szCs w:val="24"/>
          <w:lang w:val="bg-BG"/>
        </w:rPr>
      </w:pPr>
      <w:r w:rsidRPr="00F63736">
        <w:rPr>
          <w:rFonts w:ascii="Times New Roman" w:hAnsi="Times New Roman" w:cs="Times New Roman"/>
          <w:b/>
          <w:bCs/>
          <w:sz w:val="24"/>
          <w:szCs w:val="24"/>
          <w:lang w:val="bg"/>
        </w:rPr>
        <w:t>Няма специални правила за колективно собствено потребление или споделяне на енергия</w:t>
      </w:r>
      <w:r w:rsidRPr="00F63736">
        <w:rPr>
          <w:rFonts w:ascii="Times New Roman" w:hAnsi="Times New Roman" w:cs="Times New Roman"/>
          <w:b/>
          <w:bCs/>
          <w:sz w:val="24"/>
          <w:szCs w:val="24"/>
          <w:lang w:val="bg-BG"/>
        </w:rPr>
        <w:t>.</w:t>
      </w:r>
    </w:p>
    <w:p w:rsidR="007906A8" w:rsidRPr="00F63736" w:rsidRDefault="007906A8" w:rsidP="00B01311">
      <w:pPr>
        <w:numPr>
          <w:ilvl w:val="0"/>
          <w:numId w:val="47"/>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Енергийните общности трябва да се регистрират като индивидуални производители и всеки член трябва да има отделен договор с ОРС.</w:t>
      </w:r>
    </w:p>
    <w:p w:rsidR="007906A8" w:rsidRPr="00F63736" w:rsidRDefault="007906A8" w:rsidP="00B01311">
      <w:pPr>
        <w:numPr>
          <w:ilvl w:val="0"/>
          <w:numId w:val="47"/>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Няма разпоредби за пряко споделяне на енергия между членовете чрез местни мрежи или микромрежи.</w:t>
      </w:r>
    </w:p>
    <w:p w:rsidR="007906A8" w:rsidRPr="00F63736" w:rsidRDefault="007906A8" w:rsidP="00B01311">
      <w:pPr>
        <w:numPr>
          <w:ilvl w:val="0"/>
          <w:numId w:val="48"/>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Микромрежите и локалните разпределителни мрежи не са правно определени</w:t>
      </w:r>
    </w:p>
    <w:p w:rsidR="007906A8" w:rsidRPr="00F63736" w:rsidRDefault="007906A8" w:rsidP="00B01311">
      <w:pPr>
        <w:numPr>
          <w:ilvl w:val="0"/>
          <w:numId w:val="49"/>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Действащите разпоредби не предоставят ясна правна рамка за общностите да изграждат и експлоатират частни електроенергийни мрежи за вътрешно споделяне на енергия.</w:t>
      </w:r>
    </w:p>
    <w:p w:rsidR="007906A8" w:rsidRPr="00F63736" w:rsidRDefault="007906A8" w:rsidP="00B01311">
      <w:pPr>
        <w:numPr>
          <w:ilvl w:val="0"/>
          <w:numId w:val="49"/>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Ако ЕК иска да споделя електроенергия между своите членове, тя трябва да използва обществената мрежа и да плаща тарифи за разпределение, което прави местното споделяне на енергия икономически неефективно.</w:t>
      </w:r>
    </w:p>
    <w:p w:rsidR="007906A8" w:rsidRPr="00F63736" w:rsidRDefault="007906A8" w:rsidP="00B01311">
      <w:pPr>
        <w:numPr>
          <w:ilvl w:val="0"/>
          <w:numId w:val="48"/>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Неясни правила за балансиране за енергийните общности</w:t>
      </w:r>
    </w:p>
    <w:p w:rsidR="007906A8" w:rsidRPr="00F63736" w:rsidRDefault="007906A8" w:rsidP="00B01311">
      <w:pPr>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Енергийните общности нямат специален статут на балансиращия пазар и трябва или сами да балансират своето производство и потребление, което е нереалистично за малките енергийни общности, или да се присъединят към съществуваща балансираща група, която често изисква скъпи споразумения с търговски агрегатори.</w:t>
      </w:r>
    </w:p>
    <w:p w:rsidR="007906A8" w:rsidRPr="00F63736" w:rsidRDefault="007906A8" w:rsidP="00B01311">
      <w:pPr>
        <w:numPr>
          <w:ilvl w:val="0"/>
          <w:numId w:val="48"/>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Липса на опростено лицензиране за енергийните общности, които продават енергия</w:t>
      </w:r>
    </w:p>
    <w:p w:rsidR="007906A8" w:rsidRPr="00F63736" w:rsidRDefault="007906A8" w:rsidP="00B01311">
      <w:pPr>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 xml:space="preserve">Ако енергийна общност иска да продава излишната електроенергия, тя трябва да премине през същия процес на лицензиране като търговските производители на </w:t>
      </w:r>
      <w:r w:rsidRPr="00F63736">
        <w:rPr>
          <w:rFonts w:ascii="Times New Roman" w:hAnsi="Times New Roman" w:cs="Times New Roman"/>
          <w:sz w:val="24"/>
          <w:szCs w:val="24"/>
          <w:lang w:val="bg"/>
        </w:rPr>
        <w:lastRenderedPageBreak/>
        <w:t>ВЕИ. Няма изключения за малките енергийни общности, което възпира колективните инвестиции във възобновяеми енергийни източници.</w:t>
      </w:r>
    </w:p>
    <w:p w:rsidR="007906A8" w:rsidRDefault="00914903" w:rsidP="00B01311">
      <w:pPr>
        <w:pStyle w:val="Heading3"/>
        <w:numPr>
          <w:ilvl w:val="2"/>
          <w:numId w:val="185"/>
        </w:numPr>
        <w:rPr>
          <w:rFonts w:ascii="Times New Roman" w:hAnsi="Times New Roman" w:cs="Times New Roman"/>
          <w:color w:val="009999"/>
          <w:sz w:val="28"/>
          <w:szCs w:val="28"/>
          <w:lang w:val="bg-BG"/>
        </w:rPr>
      </w:pPr>
      <w:bookmarkStart w:id="61" w:name="bookmark228"/>
      <w:bookmarkStart w:id="62" w:name="bookmark227"/>
      <w:r>
        <w:rPr>
          <w:rFonts w:ascii="Times New Roman" w:hAnsi="Times New Roman" w:cs="Times New Roman"/>
          <w:color w:val="009999"/>
          <w:sz w:val="28"/>
          <w:szCs w:val="28"/>
          <w:lang w:val="bg-BG"/>
        </w:rPr>
        <w:t xml:space="preserve"> </w:t>
      </w:r>
      <w:bookmarkStart w:id="63" w:name="_Toc203141268"/>
      <w:r w:rsidR="007906A8" w:rsidRPr="00F63736">
        <w:rPr>
          <w:rFonts w:ascii="Times New Roman" w:hAnsi="Times New Roman" w:cs="Times New Roman"/>
          <w:color w:val="009999"/>
          <w:sz w:val="28"/>
          <w:szCs w:val="28"/>
          <w:lang w:val="bg-BG"/>
        </w:rPr>
        <w:t>Административни услуги за енергийните общности: необходимостта от обслужване на едно гише и централен регистър</w:t>
      </w:r>
      <w:bookmarkEnd w:id="61"/>
      <w:bookmarkEnd w:id="62"/>
      <w:bookmarkEnd w:id="63"/>
    </w:p>
    <w:p w:rsidR="00082BFC" w:rsidRPr="00082BFC" w:rsidRDefault="00082BFC" w:rsidP="00082BFC">
      <w:pPr>
        <w:pStyle w:val="ListParagraph"/>
        <w:rPr>
          <w:lang w:val="bg-BG"/>
        </w:rPr>
      </w:pPr>
    </w:p>
    <w:p w:rsidR="007906A8"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Създаването на обслужване на едно гише и централен регистър за енергийните общности е от решаващо значение за гарантиране на ефективното развитие на общностните енергийни инициативи в България. Понастоящем административната сложност, фрагментираните отговорности и липсата на централизирана система за подкрепа представляват значителни пречки за физическите лица и организациите, които се стремят да създадат енергийни общности. За да се преодолеят тези пречки, трябва да се разработи правна рамка за опростена регистрация и административна подкрепа.</w:t>
      </w:r>
    </w:p>
    <w:p w:rsidR="00116998" w:rsidRPr="00F63736" w:rsidRDefault="00116998" w:rsidP="00F63736">
      <w:pPr>
        <w:spacing w:line="276" w:lineRule="auto"/>
        <w:jc w:val="both"/>
        <w:rPr>
          <w:rFonts w:ascii="Times New Roman" w:hAnsi="Times New Roman" w:cs="Times New Roman"/>
          <w:sz w:val="24"/>
          <w:szCs w:val="24"/>
          <w:lang w:val="bg"/>
        </w:rPr>
      </w:pPr>
    </w:p>
    <w:p w:rsidR="007906A8" w:rsidRPr="00F63736" w:rsidRDefault="007906A8" w:rsidP="00F63736">
      <w:pPr>
        <w:spacing w:line="276" w:lineRule="auto"/>
        <w:jc w:val="both"/>
        <w:rPr>
          <w:rFonts w:ascii="Times New Roman" w:hAnsi="Times New Roman" w:cs="Times New Roman"/>
          <w:color w:val="009999"/>
          <w:sz w:val="28"/>
          <w:szCs w:val="28"/>
          <w:lang w:val="bg"/>
        </w:rPr>
      </w:pPr>
      <w:bookmarkStart w:id="64" w:name="bookmark230"/>
      <w:r w:rsidRPr="00F63736">
        <w:rPr>
          <w:rFonts w:ascii="Times New Roman" w:hAnsi="Times New Roman" w:cs="Times New Roman"/>
          <w:color w:val="009999"/>
          <w:sz w:val="28"/>
          <w:szCs w:val="28"/>
          <w:lang w:val="bg"/>
        </w:rPr>
        <w:t>Ролята на обслужването на едно гише</w:t>
      </w:r>
      <w:bookmarkEnd w:id="64"/>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Понятието „обслужване на едно гише“ вече е включено в българското законодателство чрез Закона за ВЕИ (ЗЕВИ), член 22, който предвижда създаването на общински административни центрове за услуги, които да подпомагат процеса на издаване на разрешения за инсталации за енергия от възобновяеми източници. Понастоящем обаче тези центрове се съсредоточават върху отделни проекти, а не върху енергийни общности, и тяхната ефективност е ограничена от липсата на пряк орган за вземане на решения.</w:t>
      </w:r>
    </w:p>
    <w:p w:rsid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 xml:space="preserve">За енергийните общности една добре функционираща </w:t>
      </w:r>
      <w:r w:rsidRPr="00F63736">
        <w:rPr>
          <w:rFonts w:ascii="Times New Roman" w:hAnsi="Times New Roman" w:cs="Times New Roman"/>
          <w:b/>
          <w:bCs/>
          <w:sz w:val="24"/>
          <w:szCs w:val="24"/>
          <w:lang w:val="bg"/>
        </w:rPr>
        <w:t xml:space="preserve">система за обслужване на едно гише </w:t>
      </w:r>
      <w:r w:rsidR="00F63736">
        <w:rPr>
          <w:rFonts w:ascii="Times New Roman" w:hAnsi="Times New Roman" w:cs="Times New Roman"/>
          <w:sz w:val="24"/>
          <w:szCs w:val="24"/>
          <w:lang w:val="bg"/>
        </w:rPr>
        <w:t>следва:</w:t>
      </w:r>
    </w:p>
    <w:p w:rsidR="00F63736" w:rsidRPr="00F63736" w:rsidRDefault="007906A8" w:rsidP="00B01311">
      <w:pPr>
        <w:pStyle w:val="ListParagraph"/>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Предоставяне на правни, технически и финансови насоки </w:t>
      </w:r>
      <w:r w:rsidRPr="00F63736">
        <w:rPr>
          <w:rFonts w:ascii="Times New Roman" w:hAnsi="Times New Roman" w:cs="Times New Roman"/>
          <w:sz w:val="24"/>
          <w:szCs w:val="24"/>
          <w:lang w:val="bg"/>
        </w:rPr>
        <w:t>относно формирането и функционирането на енергийните общности.</w:t>
      </w:r>
    </w:p>
    <w:p w:rsidR="00F63736" w:rsidRPr="00F63736" w:rsidRDefault="007906A8" w:rsidP="00B01311">
      <w:pPr>
        <w:pStyle w:val="ListParagraph"/>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Рационализиране на всички административни процедури, </w:t>
      </w:r>
      <w:r w:rsidRPr="00F63736">
        <w:rPr>
          <w:rFonts w:ascii="Times New Roman" w:hAnsi="Times New Roman" w:cs="Times New Roman"/>
          <w:sz w:val="24"/>
          <w:szCs w:val="24"/>
          <w:lang w:val="bg"/>
        </w:rPr>
        <w:t>свързани с регистрацията, присъединяването към мрежата, разрешителните и участието на пазара.</w:t>
      </w:r>
    </w:p>
    <w:p w:rsidR="00F63736" w:rsidRPr="00F63736" w:rsidRDefault="007906A8" w:rsidP="00B01311">
      <w:pPr>
        <w:pStyle w:val="ListParagraph"/>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Да служи като посредник </w:t>
      </w:r>
      <w:r w:rsidRPr="00F63736">
        <w:rPr>
          <w:rFonts w:ascii="Times New Roman" w:hAnsi="Times New Roman" w:cs="Times New Roman"/>
          <w:sz w:val="24"/>
          <w:szCs w:val="24"/>
          <w:lang w:val="bg"/>
        </w:rPr>
        <w:t>между енергийните общности и регулаторните органи, включително КЕВР, операторите на мрежи и местните органи.</w:t>
      </w:r>
    </w:p>
    <w:p w:rsidR="007906A8" w:rsidRPr="00F63736" w:rsidRDefault="007906A8" w:rsidP="00B01311">
      <w:pPr>
        <w:pStyle w:val="ListParagraph"/>
        <w:numPr>
          <w:ilvl w:val="0"/>
          <w:numId w:val="50"/>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Предлагане на цифрови услуги </w:t>
      </w:r>
      <w:r w:rsidRPr="00F63736">
        <w:rPr>
          <w:rFonts w:ascii="Times New Roman" w:hAnsi="Times New Roman" w:cs="Times New Roman"/>
          <w:sz w:val="24"/>
          <w:szCs w:val="24"/>
          <w:lang w:val="bg"/>
        </w:rPr>
        <w:t>за улесняване на онлайн приложенията и комуникацията, като се намалят бюрократичните забавяния.</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Един централизиран механизъм за координация на национално равнище, вероятно в рамките на АУЕР, следва да наблюдава хармонизирането на процедурите за обслужване на едно гише в общините, за да се гарантира последователност и ефективност.</w:t>
      </w:r>
    </w:p>
    <w:p w:rsidR="007906A8" w:rsidRDefault="007906A8" w:rsidP="007906A8">
      <w:pPr>
        <w:rPr>
          <w:lang w:val="bg"/>
        </w:rPr>
      </w:pPr>
    </w:p>
    <w:p w:rsidR="007906A8" w:rsidRPr="00F63736" w:rsidRDefault="007906A8" w:rsidP="00F63736">
      <w:pPr>
        <w:spacing w:line="276" w:lineRule="auto"/>
        <w:jc w:val="both"/>
        <w:rPr>
          <w:rFonts w:ascii="Times New Roman" w:hAnsi="Times New Roman" w:cs="Times New Roman"/>
          <w:color w:val="009999"/>
          <w:sz w:val="28"/>
          <w:szCs w:val="28"/>
          <w:lang w:val="bg"/>
        </w:rPr>
      </w:pPr>
      <w:bookmarkStart w:id="65" w:name="bookmark232"/>
      <w:r w:rsidRPr="00F63736">
        <w:rPr>
          <w:rFonts w:ascii="Times New Roman" w:hAnsi="Times New Roman" w:cs="Times New Roman"/>
          <w:color w:val="009999"/>
          <w:sz w:val="28"/>
          <w:szCs w:val="28"/>
          <w:lang w:val="bg"/>
        </w:rPr>
        <w:t>Необходимостта от централен регистър за енергийните общности</w:t>
      </w:r>
      <w:bookmarkEnd w:id="65"/>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 xml:space="preserve">Понастоящем в България няма специален регистър за енергийните общности, което създава несигурност по отношение на правния статут, участието на пазара и достъпа до механизми за подкрепа. Следва да се създаде национален регистър </w:t>
      </w:r>
      <w:r w:rsidRPr="00F63736">
        <w:rPr>
          <w:rFonts w:ascii="Times New Roman" w:hAnsi="Times New Roman" w:cs="Times New Roman"/>
          <w:sz w:val="24"/>
          <w:szCs w:val="24"/>
          <w:lang w:val="bg-BG"/>
        </w:rPr>
        <w:t>от</w:t>
      </w:r>
      <w:r w:rsidRPr="00F63736">
        <w:rPr>
          <w:rFonts w:ascii="Times New Roman" w:hAnsi="Times New Roman" w:cs="Times New Roman"/>
          <w:sz w:val="24"/>
          <w:szCs w:val="24"/>
          <w:lang w:val="bg"/>
        </w:rPr>
        <w:t xml:space="preserve"> АУЕР или друг съответен </w:t>
      </w:r>
      <w:r w:rsidRPr="00F63736">
        <w:rPr>
          <w:rFonts w:ascii="Times New Roman" w:hAnsi="Times New Roman" w:cs="Times New Roman"/>
          <w:sz w:val="24"/>
          <w:szCs w:val="24"/>
          <w:lang w:val="bg"/>
        </w:rPr>
        <w:lastRenderedPageBreak/>
        <w:t>публичен орган, който да гарантира прозрачна и стандартизирана регистрация на енергийните общности.</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Правната рамка следва да определи:</w:t>
      </w:r>
    </w:p>
    <w:p w:rsidR="007906A8" w:rsidRPr="00F63736" w:rsidRDefault="007906A8" w:rsidP="00FD3439">
      <w:pPr>
        <w:pStyle w:val="ListParagraph"/>
        <w:numPr>
          <w:ilvl w:val="0"/>
          <w:numId w:val="65"/>
        </w:numPr>
        <w:spacing w:line="276" w:lineRule="auto"/>
        <w:rPr>
          <w:rFonts w:ascii="Times New Roman" w:hAnsi="Times New Roman" w:cs="Times New Roman"/>
          <w:sz w:val="24"/>
          <w:szCs w:val="24"/>
          <w:lang w:val="bg"/>
        </w:rPr>
      </w:pPr>
      <w:r w:rsidRPr="00F63736">
        <w:rPr>
          <w:rFonts w:ascii="Times New Roman" w:hAnsi="Times New Roman" w:cs="Times New Roman"/>
          <w:b/>
          <w:bCs/>
          <w:sz w:val="24"/>
          <w:szCs w:val="24"/>
          <w:lang w:val="bg"/>
        </w:rPr>
        <w:t>Кой има право да се регистрира</w:t>
      </w:r>
    </w:p>
    <w:p w:rsidR="007906A8"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 xml:space="preserve">Енергийните общности трябва да отговарят на критериите, определени в Закона за енергетиката (ЗЕ) и </w:t>
      </w:r>
      <w:r w:rsidRPr="00F63736">
        <w:rPr>
          <w:rFonts w:ascii="Times New Roman" w:hAnsi="Times New Roman" w:cs="Times New Roman"/>
          <w:sz w:val="24"/>
          <w:szCs w:val="24"/>
          <w:lang w:val="bg-BG"/>
        </w:rPr>
        <w:t xml:space="preserve">       </w:t>
      </w:r>
      <w:r w:rsidRPr="00F63736">
        <w:rPr>
          <w:rFonts w:ascii="Times New Roman" w:hAnsi="Times New Roman" w:cs="Times New Roman"/>
          <w:sz w:val="24"/>
          <w:szCs w:val="24"/>
          <w:lang w:val="bg"/>
        </w:rPr>
        <w:t>Закона за ВЕИ (ЗВЕИ).Регистрацията следва да бъде отворена за сдружения на физически лица, МСП, общини и кооперации, които отговарят на критериите за участие и управление.</w:t>
      </w:r>
    </w:p>
    <w:p w:rsidR="007906A8" w:rsidRPr="00F63736" w:rsidRDefault="007906A8" w:rsidP="00FD3439">
      <w:pPr>
        <w:pStyle w:val="ListParagraph"/>
        <w:numPr>
          <w:ilvl w:val="0"/>
          <w:numId w:val="65"/>
        </w:numPr>
        <w:spacing w:line="276" w:lineRule="auto"/>
        <w:rPr>
          <w:rFonts w:ascii="Times New Roman" w:hAnsi="Times New Roman" w:cs="Times New Roman"/>
          <w:sz w:val="24"/>
          <w:szCs w:val="24"/>
          <w:lang w:val="bg"/>
        </w:rPr>
      </w:pPr>
      <w:r w:rsidRPr="00F63736">
        <w:rPr>
          <w:rFonts w:ascii="Times New Roman" w:hAnsi="Times New Roman" w:cs="Times New Roman"/>
          <w:b/>
          <w:bCs/>
          <w:sz w:val="24"/>
          <w:szCs w:val="24"/>
          <w:lang w:val="bg"/>
        </w:rPr>
        <w:t>Каква информация трябва да съдържа регистърът</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Правна структура и учредителни документи на общността.</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Модел на собственост и управление, гарантиращ демократичен контрол.</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Подробности за споразуменията за производство, потребление, съхранение и присъединяване към мрежата.</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Правила и процедури за регистрация</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Процесът трябва да бъде дигитализиран и опростен, като се избягва прекомерната бюрокрация.</w:t>
      </w:r>
    </w:p>
    <w:p w:rsidR="00F63736"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Общностите следва да могат да кандидатстват чрез стандартизирана онлайн платформа, управлявана от АУЕР.</w:t>
      </w:r>
    </w:p>
    <w:p w:rsidR="007906A8" w:rsidRPr="00F63736" w:rsidRDefault="007906A8" w:rsidP="00FD3439">
      <w:pPr>
        <w:pStyle w:val="ListParagraph"/>
        <w:numPr>
          <w:ilvl w:val="0"/>
          <w:numId w:val="66"/>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Одобрението трябва да бъде дадено в рамките на определен срок, за да се предотвратят ненужни забавяния.</w:t>
      </w:r>
    </w:p>
    <w:p w:rsidR="007906A8" w:rsidRPr="00F63736" w:rsidRDefault="007906A8" w:rsidP="00FD3439">
      <w:pPr>
        <w:pStyle w:val="ListParagraph"/>
        <w:numPr>
          <w:ilvl w:val="0"/>
          <w:numId w:val="65"/>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Права и задължения на регистрираните общности</w:t>
      </w:r>
    </w:p>
    <w:p w:rsidR="00F63736" w:rsidRPr="00F63736" w:rsidRDefault="007906A8" w:rsidP="00FD3439">
      <w:pPr>
        <w:pStyle w:val="ListParagraph"/>
        <w:numPr>
          <w:ilvl w:val="0"/>
          <w:numId w:val="67"/>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Официалната регистрация следва да предоставя правно признаване и права за достъп до пазара.</w:t>
      </w:r>
    </w:p>
    <w:p w:rsidR="007906A8" w:rsidRPr="00F63736" w:rsidRDefault="007906A8" w:rsidP="00FD3439">
      <w:pPr>
        <w:pStyle w:val="ListParagraph"/>
        <w:numPr>
          <w:ilvl w:val="0"/>
          <w:numId w:val="67"/>
        </w:num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Общностите следва да получат ясни насоки относно данъчното третиране, процедурите за фактуриране и участието в схеми за подпомагане.</w:t>
      </w:r>
    </w:p>
    <w:p w:rsidR="007906A8" w:rsidRPr="00F63736" w:rsidRDefault="007906A8" w:rsidP="00F63736">
      <w:pPr>
        <w:spacing w:line="276" w:lineRule="auto"/>
        <w:jc w:val="both"/>
        <w:rPr>
          <w:rFonts w:ascii="Times New Roman" w:hAnsi="Times New Roman" w:cs="Times New Roman"/>
          <w:color w:val="009999"/>
          <w:sz w:val="24"/>
          <w:szCs w:val="24"/>
          <w:lang w:val="bg"/>
        </w:rPr>
      </w:pPr>
      <w:bookmarkStart w:id="66" w:name="bookmark234"/>
      <w:r w:rsidRPr="00F63736">
        <w:rPr>
          <w:rFonts w:ascii="Times New Roman" w:hAnsi="Times New Roman" w:cs="Times New Roman"/>
          <w:color w:val="009999"/>
          <w:sz w:val="24"/>
          <w:szCs w:val="24"/>
          <w:lang w:val="bg"/>
        </w:rPr>
        <w:t>Правно основание за създаване на регистъра</w:t>
      </w:r>
      <w:bookmarkEnd w:id="66"/>
    </w:p>
    <w:p w:rsidR="00F63736" w:rsidRPr="00082BFC" w:rsidRDefault="007906A8" w:rsidP="00082BFC">
      <w:pPr>
        <w:spacing w:line="276" w:lineRule="auto"/>
        <w:jc w:val="both"/>
        <w:rPr>
          <w:rFonts w:ascii="Times New Roman" w:hAnsi="Times New Roman" w:cs="Times New Roman"/>
          <w:sz w:val="24"/>
          <w:szCs w:val="24"/>
          <w:lang w:val="bg"/>
        </w:rPr>
      </w:pPr>
      <w:r w:rsidRPr="00082BFC">
        <w:rPr>
          <w:rFonts w:ascii="Times New Roman" w:hAnsi="Times New Roman" w:cs="Times New Roman"/>
          <w:sz w:val="24"/>
          <w:szCs w:val="24"/>
          <w:lang w:val="bg"/>
        </w:rPr>
        <w:t>Въвеждането на централен регистър за енергийните общности следва да бъде правно задължително в рамките на:</w:t>
      </w:r>
    </w:p>
    <w:p w:rsidR="00F63736" w:rsidRPr="00082BFC" w:rsidRDefault="007906A8" w:rsidP="00B01311">
      <w:pPr>
        <w:pStyle w:val="ListParagraph"/>
        <w:numPr>
          <w:ilvl w:val="0"/>
          <w:numId w:val="68"/>
        </w:numPr>
        <w:spacing w:line="276" w:lineRule="auto"/>
        <w:ind w:hanging="436"/>
        <w:jc w:val="both"/>
        <w:rPr>
          <w:rFonts w:ascii="Times New Roman" w:hAnsi="Times New Roman" w:cs="Times New Roman"/>
          <w:sz w:val="24"/>
          <w:szCs w:val="24"/>
          <w:lang w:val="bg"/>
        </w:rPr>
      </w:pPr>
      <w:r w:rsidRPr="00082BFC">
        <w:rPr>
          <w:rFonts w:ascii="Times New Roman" w:hAnsi="Times New Roman" w:cs="Times New Roman"/>
          <w:sz w:val="24"/>
          <w:szCs w:val="24"/>
          <w:lang w:val="bg"/>
        </w:rPr>
        <w:t>Закон за енергетиката (ЗЕ) – определяне на правния статут на ЦИК.</w:t>
      </w:r>
    </w:p>
    <w:p w:rsidR="00F63736" w:rsidRPr="00082BFC" w:rsidRDefault="007906A8" w:rsidP="00B01311">
      <w:pPr>
        <w:pStyle w:val="ListParagraph"/>
        <w:numPr>
          <w:ilvl w:val="0"/>
          <w:numId w:val="68"/>
        </w:numPr>
        <w:spacing w:line="276" w:lineRule="auto"/>
        <w:ind w:hanging="436"/>
        <w:jc w:val="both"/>
        <w:rPr>
          <w:rFonts w:ascii="Times New Roman" w:hAnsi="Times New Roman" w:cs="Times New Roman"/>
          <w:sz w:val="24"/>
          <w:szCs w:val="24"/>
          <w:lang w:val="bg"/>
        </w:rPr>
      </w:pPr>
      <w:r w:rsidRPr="00082BFC">
        <w:rPr>
          <w:rFonts w:ascii="Times New Roman" w:hAnsi="Times New Roman" w:cs="Times New Roman"/>
          <w:sz w:val="24"/>
          <w:szCs w:val="24"/>
          <w:lang w:val="bg"/>
        </w:rPr>
        <w:t>Законът за ВЕИ (ЗЕВИ) – включващ правила за РЕС.</w:t>
      </w:r>
    </w:p>
    <w:p w:rsidR="007906A8" w:rsidRPr="00082BFC" w:rsidRDefault="007906A8" w:rsidP="00B01311">
      <w:pPr>
        <w:pStyle w:val="ListParagraph"/>
        <w:numPr>
          <w:ilvl w:val="0"/>
          <w:numId w:val="68"/>
        </w:numPr>
        <w:spacing w:line="276" w:lineRule="auto"/>
        <w:ind w:hanging="436"/>
        <w:jc w:val="both"/>
        <w:rPr>
          <w:rFonts w:ascii="Times New Roman" w:hAnsi="Times New Roman" w:cs="Times New Roman"/>
          <w:sz w:val="24"/>
          <w:szCs w:val="24"/>
          <w:lang w:val="bg"/>
        </w:rPr>
      </w:pPr>
      <w:r w:rsidRPr="00082BFC">
        <w:rPr>
          <w:rFonts w:ascii="Times New Roman" w:hAnsi="Times New Roman" w:cs="Times New Roman"/>
          <w:sz w:val="24"/>
          <w:szCs w:val="24"/>
          <w:lang w:val="bg"/>
        </w:rPr>
        <w:t>Нова регулаторна наредба, издадена от КЕВР (KEBP), в която се определят правилата за регистрация и експлоатация.</w:t>
      </w:r>
    </w:p>
    <w:p w:rsidR="007906A8" w:rsidRDefault="007906A8" w:rsidP="00FA57D1">
      <w:pPr>
        <w:spacing w:line="276" w:lineRule="auto"/>
        <w:jc w:val="both"/>
        <w:rPr>
          <w:rFonts w:ascii="Times New Roman" w:hAnsi="Times New Roman" w:cs="Times New Roman"/>
          <w:sz w:val="24"/>
          <w:szCs w:val="24"/>
          <w:lang w:val="bg"/>
        </w:rPr>
      </w:pPr>
      <w:r w:rsidRPr="00082BFC">
        <w:rPr>
          <w:rFonts w:ascii="Times New Roman" w:hAnsi="Times New Roman" w:cs="Times New Roman"/>
          <w:sz w:val="24"/>
          <w:szCs w:val="24"/>
          <w:lang w:val="bg"/>
        </w:rPr>
        <w:t xml:space="preserve">Ясният правен мандат е от съществено значение, за да се гарантира, че регистрацията не е оставена на </w:t>
      </w:r>
      <w:r w:rsidR="00FD3439">
        <w:rPr>
          <w:rFonts w:ascii="Times New Roman" w:hAnsi="Times New Roman" w:cs="Times New Roman"/>
          <w:sz w:val="24"/>
          <w:szCs w:val="24"/>
          <w:lang w:val="bg-BG"/>
        </w:rPr>
        <w:t>дискреционн</w:t>
      </w:r>
      <w:r w:rsidRPr="00FD3439">
        <w:rPr>
          <w:rFonts w:ascii="Times New Roman" w:hAnsi="Times New Roman" w:cs="Times New Roman"/>
          <w:sz w:val="24"/>
          <w:szCs w:val="24"/>
          <w:lang w:val="bg-BG"/>
        </w:rPr>
        <w:t xml:space="preserve">и </w:t>
      </w:r>
      <w:r w:rsidRPr="00082BFC">
        <w:rPr>
          <w:rFonts w:ascii="Times New Roman" w:hAnsi="Times New Roman" w:cs="Times New Roman"/>
          <w:sz w:val="24"/>
          <w:szCs w:val="24"/>
          <w:lang w:val="bg"/>
        </w:rPr>
        <w:t>общински процеси, а е единна, прозрачна и обвързваща в цялата страна.</w:t>
      </w:r>
    </w:p>
    <w:p w:rsidR="00FD3439" w:rsidRDefault="00FD3439" w:rsidP="00FA57D1">
      <w:pPr>
        <w:spacing w:line="276" w:lineRule="auto"/>
        <w:jc w:val="both"/>
        <w:rPr>
          <w:rFonts w:ascii="Times New Roman" w:hAnsi="Times New Roman" w:cs="Times New Roman"/>
          <w:sz w:val="24"/>
          <w:szCs w:val="24"/>
          <w:lang w:val="bg"/>
        </w:rPr>
      </w:pPr>
    </w:p>
    <w:p w:rsidR="00FD3439" w:rsidRPr="007906A8" w:rsidRDefault="00FD3439" w:rsidP="00FA57D1">
      <w:pPr>
        <w:spacing w:line="276" w:lineRule="auto"/>
        <w:jc w:val="both"/>
        <w:rPr>
          <w:lang w:val="bg"/>
        </w:rPr>
      </w:pPr>
    </w:p>
    <w:p w:rsidR="007906A8" w:rsidRDefault="007906A8" w:rsidP="00FD3439">
      <w:pPr>
        <w:pStyle w:val="Heading2"/>
        <w:numPr>
          <w:ilvl w:val="1"/>
          <w:numId w:val="65"/>
        </w:numPr>
        <w:spacing w:line="276" w:lineRule="auto"/>
        <w:jc w:val="both"/>
        <w:rPr>
          <w:rFonts w:ascii="Times New Roman" w:hAnsi="Times New Roman" w:cs="Times New Roman"/>
          <w:color w:val="24B1C0"/>
          <w:sz w:val="30"/>
          <w:szCs w:val="30"/>
          <w:lang w:val="bg"/>
        </w:rPr>
      </w:pPr>
      <w:bookmarkStart w:id="67" w:name="bookmark237"/>
      <w:bookmarkStart w:id="68" w:name="bookmark236"/>
      <w:bookmarkStart w:id="69" w:name="_Toc203141269"/>
      <w:r w:rsidRPr="00F86089">
        <w:rPr>
          <w:rFonts w:ascii="Times New Roman" w:hAnsi="Times New Roman" w:cs="Times New Roman"/>
          <w:color w:val="24B1C0"/>
          <w:sz w:val="30"/>
          <w:szCs w:val="30"/>
          <w:lang w:val="bg"/>
        </w:rPr>
        <w:lastRenderedPageBreak/>
        <w:t>Картографиране на норвежките разпоредби, които са от значение за енергийните общности, и очакваните промени, за да се съобразят с тях</w:t>
      </w:r>
      <w:bookmarkEnd w:id="67"/>
      <w:bookmarkEnd w:id="68"/>
      <w:bookmarkEnd w:id="69"/>
    </w:p>
    <w:p w:rsidR="00FD3439" w:rsidRPr="00FD3439" w:rsidRDefault="00FD3439" w:rsidP="00FD3439">
      <w:pPr>
        <w:pStyle w:val="ListParagraph"/>
        <w:ind w:left="795"/>
        <w:rPr>
          <w:lang w:val="bg"/>
        </w:rPr>
      </w:pP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Електроенергийната система на Норвегия се отличава със значителната си зависимост от енергия от възобновяеми източници, водеща в Европа по отношение на дела на електроенергията, произведена от възобновяеми източници, и отчитаща най-ниските емисии от енергийния сектор. Водноелектрическата енергия представлява приблизително 88 % от капацитета на Норвегия за производство на електроенергия, като останалата част се състои от вятърна, слънчева и топлинна енергия. Общият инсталиран производствен капацитет е 39,7 GW към 2023 г., а типичното годишно производство е 156</w:t>
      </w:r>
      <w:r w:rsidRPr="006F07C3">
        <w:rPr>
          <w:rFonts w:ascii="Times New Roman" w:hAnsi="Times New Roman" w:cs="Times New Roman"/>
          <w:color w:val="FF0000"/>
          <w:sz w:val="24"/>
          <w:szCs w:val="24"/>
          <w:lang w:val="bg"/>
        </w:rPr>
        <w:t xml:space="preserve"> </w:t>
      </w:r>
      <w:r w:rsidRPr="00A14D29">
        <w:rPr>
          <w:rFonts w:ascii="Times New Roman" w:hAnsi="Times New Roman" w:cs="Times New Roman"/>
          <w:sz w:val="24"/>
          <w:szCs w:val="24"/>
          <w:lang w:val="bg"/>
        </w:rPr>
        <w:t>TWh.</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Електроенергията представлява почти половината от общото крайно потребление на енергия в Норвегия. Високото потребление на електроенергия на глава от населението в жилищния сектор (6,5 MWh през 2022 г.) се дължи главно на широкото използване на електроенергия за отопление и топла вода. Норвегия също така е световен лидер в електрифицирането на транспорта, ключов компонент на екологичния преход. Електрическите превозни средства с акумулаторни батерии и хибридните превозни средства със зарядно устройство доминират в продажбите на нови автомобили, като през 2023 г. достигат пазарен дял над 90 %. Освен това страната е активно ангажирана с електрификацията на камиони, кораби и строителния сектор, демонстрирайки ангажимента си към устойчивите практики.</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Statnett SF е единственият ОПС в Норвегия, който контролира цялата преносна мрежа. Регионалните и разпределителните мрежи, от друга страна, се управляват от приблизително 120 различни ОРС, всяка от които отговаря за конкретен регион. Като се има предвид, че както ОПС, така и ОРС притежават естествени монополи в своите географски райони, те подлежат на строги разпоредби от националните органи, което се определя от взаимодействието между Норвежката дирекция за водни ресурси и енергия (NVE), Регулатора по енергетика (RME) и законодателството, свързано с енергетиката. NVE, действащо под ръководството на Министерството на петрола и енергетиката, контролира управлението на водните и енергийните ресурси на страната, като гарантира ефективна, надеждна и екологосъобразна енергийна система. NVE отговаря и за издаването на лицензи за производство и пренос на енергия. RME, подразделение в рамките на NVE, известно също като NVE-RME, служи като национален регулаторен орган за пазарите на електроенергия и газ надолу по веригата в Норвегия. Нейната основна цел е да насърчава социално-икономическото развитие и екологосъобразната енергийна система, характеризираща се с ефективен и надежден пренос, разпределение, търговия и използване на енергия. RME наблюдава операторите на преносни системи и операторите на разпределителни системи, за да гарантира, че потребителите получават електроенергия с подходящо качество.</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 xml:space="preserve">NVE и RME са оправомощени да прилагат законовите и подзаконовите актове в енергийния сектор на Норвегия, като гарантират спазването на правната рамка, установена от норвежкото правителство. Важно е да се отбележи, че концепцията за LEC все още не е въведена в националното право или практика в съответствие с определенията на ЕС. Въпреки че Норвегия не е член на ЕС и не е пряко задължена да спазва директивите на ЕС, </w:t>
      </w:r>
      <w:r w:rsidRPr="00F63736">
        <w:rPr>
          <w:rFonts w:ascii="Times New Roman" w:hAnsi="Times New Roman" w:cs="Times New Roman"/>
          <w:sz w:val="24"/>
          <w:szCs w:val="24"/>
          <w:lang w:val="bg"/>
        </w:rPr>
        <w:lastRenderedPageBreak/>
        <w:t>тя е част от Европейското икономическо пространство (ЕИП). Това означава, че директивите на ЕС могат да бъдат приети в Норвегия чрез Споразумението за ЕИП, при условие че бъдат счетени за уместни от ЕИП и ЕАСТ. Като се има предвид нарастващото признаване на потенциалните ползи, които LEC могат да донесат, има движение към адаптиране на съществуващата рамка, за да се отговори по-добре на тези инициативи. В настоящия си вид обаче участниците в LEC трябва да разчитат на установените в Норвегия разпоредби, свързани с енергетиката.</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Няколко ключови законодателни акта, които уреждат норвежката енергийна система, са от особено значение за LEC и разбирането им може да помогне за ориентиране в регулаторната среда:</w:t>
      </w:r>
    </w:p>
    <w:p w:rsidR="00F63736" w:rsidRDefault="007906A8" w:rsidP="00B01311">
      <w:pPr>
        <w:pStyle w:val="ListParagraph"/>
        <w:numPr>
          <w:ilvl w:val="0"/>
          <w:numId w:val="69"/>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Закон за енергетиката </w:t>
      </w:r>
      <w:r w:rsidRPr="00F63736">
        <w:rPr>
          <w:rFonts w:ascii="Times New Roman" w:hAnsi="Times New Roman" w:cs="Times New Roman"/>
          <w:sz w:val="24"/>
          <w:szCs w:val="24"/>
          <w:lang w:val="bg"/>
        </w:rPr>
        <w:t>(Energiloven):</w:t>
      </w:r>
      <w:r w:rsidRPr="00BA7482">
        <w:rPr>
          <w:rFonts w:ascii="Times New Roman" w:hAnsi="Times New Roman" w:cs="Times New Roman"/>
          <w:sz w:val="24"/>
          <w:szCs w:val="24"/>
          <w:vertAlign w:val="superscript"/>
          <w:lang w:val="bg"/>
        </w:rPr>
        <w:footnoteReference w:id="8"/>
      </w:r>
      <w:r w:rsidRPr="00F63736">
        <w:rPr>
          <w:rFonts w:ascii="Times New Roman" w:hAnsi="Times New Roman" w:cs="Times New Roman"/>
          <w:sz w:val="24"/>
          <w:szCs w:val="24"/>
          <w:lang w:val="bg"/>
        </w:rPr>
        <w:t xml:space="preserve"> Този акт, приложен през 1990 г., гарантира, че цялата енергия, произведена в Норвегия, се използва по социално рационален начин. Той регулира производството, преобразуването, продажбата, разпределението и използването на енергията. Важно е да се отбележи, че с него се установява лицензионен режим за експлоатацията на активите на мрежата, като се предоставят изключителни права на операторите на разпределителни системи в рамките на определените зони. Това представлява значително предизвикателство за по-големите LEC, които имат за цел да притежават и експлоатират собствена мрежова инфраструктура.</w:t>
      </w:r>
    </w:p>
    <w:p w:rsidR="00F63736" w:rsidRDefault="007906A8" w:rsidP="00B01311">
      <w:pPr>
        <w:pStyle w:val="ListParagraph"/>
        <w:numPr>
          <w:ilvl w:val="0"/>
          <w:numId w:val="69"/>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Енергийните регламенти </w:t>
      </w:r>
      <w:r w:rsidRPr="00F63736">
        <w:rPr>
          <w:rFonts w:ascii="Times New Roman" w:hAnsi="Times New Roman" w:cs="Times New Roman"/>
          <w:sz w:val="24"/>
          <w:szCs w:val="24"/>
          <w:lang w:val="bg"/>
        </w:rPr>
        <w:t>(Energilovforskriften):</w:t>
      </w:r>
      <w:hyperlink w:anchor="bookmark15" w:tooltip="Current Document">
        <w:r w:rsidRPr="00BA7482">
          <w:rPr>
            <w:rStyle w:val="Hyperlink"/>
            <w:rFonts w:ascii="Times New Roman" w:hAnsi="Times New Roman" w:cs="Times New Roman"/>
            <w:sz w:val="24"/>
            <w:szCs w:val="24"/>
            <w:vertAlign w:val="superscript"/>
            <w:lang w:val="bg"/>
          </w:rPr>
          <w:footnoteReference w:id="9"/>
        </w:r>
      </w:hyperlink>
      <w:r w:rsidRPr="00F63736">
        <w:rPr>
          <w:rFonts w:ascii="Times New Roman" w:hAnsi="Times New Roman" w:cs="Times New Roman"/>
          <w:sz w:val="24"/>
          <w:szCs w:val="24"/>
          <w:lang w:val="bg"/>
        </w:rPr>
        <w:t xml:space="preserve"> Въведени през 1990 г. със Закона за енергетиката, тези наредби осигуряват цялостна и подробна рамка на условията за предоставяне на лицензи за развитие и поддържане на регионални и местни разпределителни мрежи. Те гарантират, че производството, преобразуването, преносът, оборотът, разпределението и използването на енергия са рационални от обществена гледна точка и отчитат частните и обществените интереси. Те също така улесняват ефективния енергиен пазар, на който продажбата на енергия се извършва по социално рационален начин, и гарантират ефективно наблюдение на пазара.</w:t>
      </w:r>
    </w:p>
    <w:p w:rsidR="007906A8" w:rsidRPr="00F63736" w:rsidRDefault="007906A8" w:rsidP="00B01311">
      <w:pPr>
        <w:pStyle w:val="ListParagraph"/>
        <w:numPr>
          <w:ilvl w:val="0"/>
          <w:numId w:val="69"/>
        </w:numPr>
        <w:spacing w:line="276" w:lineRule="auto"/>
        <w:jc w:val="both"/>
        <w:rPr>
          <w:rFonts w:ascii="Times New Roman" w:hAnsi="Times New Roman" w:cs="Times New Roman"/>
          <w:sz w:val="24"/>
          <w:szCs w:val="24"/>
          <w:lang w:val="bg"/>
        </w:rPr>
      </w:pPr>
      <w:r w:rsidRPr="00F63736">
        <w:rPr>
          <w:rFonts w:ascii="Times New Roman" w:hAnsi="Times New Roman" w:cs="Times New Roman"/>
          <w:b/>
          <w:bCs/>
          <w:sz w:val="24"/>
          <w:szCs w:val="24"/>
          <w:lang w:val="bg"/>
        </w:rPr>
        <w:t xml:space="preserve">Регламентът за електроенергийната мрежа и енергийния пазар </w:t>
      </w:r>
      <w:r w:rsidRPr="00F63736">
        <w:rPr>
          <w:rFonts w:ascii="Times New Roman" w:hAnsi="Times New Roman" w:cs="Times New Roman"/>
          <w:sz w:val="24"/>
          <w:szCs w:val="24"/>
          <w:lang w:val="bg"/>
        </w:rPr>
        <w:t>(Forskrift om nettregulering og energimarkedet, NEM):</w:t>
      </w:r>
      <w:hyperlink w:anchor="bookmark16" w:tooltip="Current Document">
        <w:r w:rsidRPr="00BA7482">
          <w:rPr>
            <w:rStyle w:val="Hyperlink"/>
            <w:rFonts w:ascii="Times New Roman" w:hAnsi="Times New Roman" w:cs="Times New Roman"/>
            <w:sz w:val="24"/>
            <w:szCs w:val="24"/>
            <w:vertAlign w:val="superscript"/>
            <w:lang w:val="bg"/>
          </w:rPr>
          <w:footnoteReference w:id="10"/>
        </w:r>
      </w:hyperlink>
      <w:r w:rsidRPr="00F63736">
        <w:rPr>
          <w:rFonts w:ascii="Times New Roman" w:hAnsi="Times New Roman" w:cs="Times New Roman"/>
          <w:sz w:val="24"/>
          <w:szCs w:val="24"/>
          <w:lang w:val="bg"/>
        </w:rPr>
        <w:t xml:space="preserve"> Въведена през 2019 г., NEM регулира норвежкия енергиен пазар, като улеснява ефективния енергиен пазар, на който операциите в рамките на пазара се извършват по социално рационален начин, и гарантира ефективен надзор на пазара. Освен това NEM представлява подробна рамка на законодателните условия на норвежкия енергиен пазар. RME отговаря за наблюдението на енергийния пазар, за да се гарантира, че NEM се прилага.</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Освен това ангажиментът на Норвегия за екологична устойчивост при производството на енергия се подсилва от няколко рамки. Законът за сертификатите за електроенергия, въведен през 2011 г., насърчава производството на енергия от възобновяеми източници чрез основана на пазара схема, споделена с Швеция. Съгласно този закон производителите на електрическа енергия от възобновяеми източници получават един сертификат за мегаватчас</w:t>
      </w:r>
      <w:r w:rsidR="00F63736">
        <w:rPr>
          <w:rFonts w:ascii="Times New Roman" w:hAnsi="Times New Roman" w:cs="Times New Roman"/>
          <w:sz w:val="24"/>
          <w:szCs w:val="24"/>
          <w:lang w:val="bg"/>
        </w:rPr>
        <w:t xml:space="preserve"> </w:t>
      </w:r>
      <w:r w:rsidRPr="00F63736">
        <w:rPr>
          <w:rFonts w:ascii="Times New Roman" w:hAnsi="Times New Roman" w:cs="Times New Roman"/>
          <w:sz w:val="24"/>
          <w:szCs w:val="24"/>
          <w:lang w:val="bg"/>
        </w:rPr>
        <w:softHyphen/>
        <w:t xml:space="preserve">(MWh) произведена електрическа енергия, валиден до 15 години. Освен това Националният план за климата и Законът за изменението на климата са най-значимите рамки, свързани с </w:t>
      </w:r>
      <w:r w:rsidRPr="00F63736">
        <w:rPr>
          <w:rFonts w:ascii="Times New Roman" w:hAnsi="Times New Roman" w:cs="Times New Roman"/>
          <w:sz w:val="24"/>
          <w:szCs w:val="24"/>
          <w:lang w:val="bg"/>
        </w:rPr>
        <w:lastRenderedPageBreak/>
        <w:t>устойчивостта, които регулират енергийната система. Планът за климата очертава приоритетните мерки на Норвегия за намаляване на емисиите, докато Законът за изменението на климата има за цел дългосрочно намаляване на емисиите на парникови газове, като целта е значително намаляване до 2050 г. Всички участници в норвежката енергийна система трябва да вземат предвид тези всеобхватни екологични рамки.</w:t>
      </w:r>
    </w:p>
    <w:p w:rsidR="007906A8" w:rsidRPr="00F63736" w:rsidRDefault="007906A8" w:rsidP="00F63736">
      <w:pPr>
        <w:spacing w:line="276" w:lineRule="auto"/>
        <w:jc w:val="both"/>
        <w:rPr>
          <w:rFonts w:ascii="Times New Roman" w:hAnsi="Times New Roman" w:cs="Times New Roman"/>
          <w:sz w:val="24"/>
          <w:szCs w:val="24"/>
          <w:lang w:val="bg"/>
        </w:rPr>
      </w:pPr>
      <w:r w:rsidRPr="00F63736">
        <w:rPr>
          <w:rFonts w:ascii="Times New Roman" w:hAnsi="Times New Roman" w:cs="Times New Roman"/>
          <w:sz w:val="24"/>
          <w:szCs w:val="24"/>
          <w:lang w:val="bg"/>
        </w:rPr>
        <w:t>В много отношения норвежкото законодателство представя контролирана от държавата рамка за енергийно регулиране. Законът за енергетиката и подзаконовите нормативни актове към него ограничават възможността на LEC самостоятелно да произвеждат, споделят и акумулират енергия. Изискването за лицензии за площ, предоставени предимно на операторите на разпределителни системи, ограничава развитието на по-големи LEC със собствена мрежова инфраструктура. Рамката на регулаторната лаборатория за енергийните системи обаче, въведена от RME през 2019 г., предлага механизъм за временни изключения. Тази инициатива има за цел да улесни пилотните и демонстрационните проекти в контролирана среда, като осигури път за иновации в рамките на регулаторните граници. Експерименталната среда позволява на новаторите да тестват нови технологии, услуги, бизнес модели и подходи в реални условия, което е особено полезно за LEC. Тези общности често работят с иновативни концепции, които може да не са в пълно съответствие със съществуващите регулаторни рамки. Списък на всички проекти, които са били одобрени за лабораторията, може да бъде намерен на уебсайта на NVE</w:t>
      </w:r>
      <w:hyperlink w:anchor="bookmark17" w:tooltip="Current Document">
        <w:r w:rsidRPr="00BA7482">
          <w:rPr>
            <w:rStyle w:val="Hyperlink"/>
            <w:rFonts w:ascii="Times New Roman" w:hAnsi="Times New Roman" w:cs="Times New Roman"/>
            <w:sz w:val="24"/>
            <w:szCs w:val="24"/>
            <w:vertAlign w:val="superscript"/>
            <w:lang w:val="bg"/>
          </w:rPr>
          <w:footnoteReference w:id="11"/>
        </w:r>
      </w:hyperlink>
      <w:r w:rsidRPr="00BA7482">
        <w:rPr>
          <w:rFonts w:ascii="Times New Roman" w:hAnsi="Times New Roman" w:cs="Times New Roman"/>
          <w:sz w:val="24"/>
          <w:szCs w:val="24"/>
          <w:vertAlign w:val="superscript"/>
          <w:lang w:val="bg"/>
        </w:rPr>
        <w:t>.</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Рамката за експериментална среда насърчава процес на сътрудничество между RME и иновативни концепции като LEC, като подобрява разбирането за променящата се енергийна среда. RME предоставя регулаторни насоки и съвети, като изяснява неяснотите по отношение на прилагането на съществуващите разпоредби към иновативни проекти за LEC. Рамката включва прозрачен процес за предоставяне на временно освобождаване от изискванията за лицензиране, което позволява на местните енергийни общности да кандидатстват за дерогации, ако техните проекти демонстрират иновации и потенциални ползи за електроенергийната система.</w:t>
      </w:r>
    </w:p>
    <w:p w:rsidR="007906A8" w:rsidRPr="007906A8" w:rsidRDefault="007906A8" w:rsidP="007906A8">
      <w:pPr>
        <w:rPr>
          <w:lang w:val="bg"/>
        </w:rPr>
      </w:pPr>
    </w:p>
    <w:p w:rsidR="007906A8" w:rsidRPr="007906A8" w:rsidRDefault="007906A8" w:rsidP="007906A8">
      <w:pPr>
        <w:rPr>
          <w:lang w:val="bg"/>
        </w:rPr>
      </w:pPr>
    </w:p>
    <w:p w:rsidR="007906A8" w:rsidRDefault="006F07C3" w:rsidP="006F07C3">
      <w:pPr>
        <w:pStyle w:val="Heading3"/>
        <w:rPr>
          <w:rFonts w:ascii="Times New Roman" w:hAnsi="Times New Roman" w:cs="Times New Roman"/>
          <w:color w:val="049494"/>
          <w:sz w:val="28"/>
          <w:szCs w:val="28"/>
          <w:lang w:val="bg"/>
        </w:rPr>
      </w:pPr>
      <w:bookmarkStart w:id="73" w:name="bookmark240"/>
      <w:bookmarkStart w:id="74" w:name="bookmark239"/>
      <w:bookmarkStart w:id="75" w:name="_Toc203141270"/>
      <w:r w:rsidRPr="006F07C3">
        <w:rPr>
          <w:rFonts w:ascii="Times New Roman" w:hAnsi="Times New Roman" w:cs="Times New Roman"/>
          <w:color w:val="049494"/>
          <w:sz w:val="28"/>
          <w:szCs w:val="28"/>
        </w:rPr>
        <w:t xml:space="preserve">3.2.1 </w:t>
      </w:r>
      <w:r w:rsidR="007906A8" w:rsidRPr="006F07C3">
        <w:rPr>
          <w:rFonts w:ascii="Times New Roman" w:hAnsi="Times New Roman" w:cs="Times New Roman"/>
          <w:color w:val="049494"/>
          <w:sz w:val="28"/>
          <w:szCs w:val="28"/>
          <w:lang w:val="bg"/>
        </w:rPr>
        <w:t>Стимули за собствено потребление и споделяне на енергия</w:t>
      </w:r>
      <w:bookmarkEnd w:id="73"/>
      <w:bookmarkEnd w:id="74"/>
      <w:bookmarkEnd w:id="75"/>
    </w:p>
    <w:p w:rsidR="00082BFC" w:rsidRPr="00082BFC" w:rsidRDefault="00082BFC" w:rsidP="00082BFC">
      <w:pPr>
        <w:rPr>
          <w:lang w:val="bg"/>
        </w:rPr>
      </w:pP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 xml:space="preserve">В Норвегия съществуват </w:t>
      </w:r>
      <w:r w:rsidRPr="006F07C3">
        <w:rPr>
          <w:rFonts w:ascii="Times New Roman" w:hAnsi="Times New Roman" w:cs="Times New Roman"/>
          <w:b/>
          <w:bCs/>
          <w:sz w:val="24"/>
          <w:szCs w:val="24"/>
          <w:lang w:val="bg"/>
        </w:rPr>
        <w:t>национални схеми за подпомагане и данъчни облекчения, специално насочени към дребномащабното разпределено производство на енергия.</w:t>
      </w:r>
      <w:r w:rsidRPr="006F07C3">
        <w:rPr>
          <w:rFonts w:ascii="Times New Roman" w:hAnsi="Times New Roman" w:cs="Times New Roman"/>
          <w:sz w:val="24"/>
          <w:szCs w:val="24"/>
          <w:lang w:val="bg"/>
        </w:rPr>
        <w:t xml:space="preserve"> Страната предлага различни стимули за насърчаване на собственото потребление на енергия, по-специално от възобновяеми източници като слънчевата енергия. Enova, националната агенция за чиста енергия, предоставя финансова подкрепа за мерки за енергийна ефективност, включително субсидии за жилищни слънчеви инсталации. Собствениците на жилища могат да получат </w:t>
      </w:r>
      <w:r w:rsidRPr="006F07C3">
        <w:rPr>
          <w:rFonts w:ascii="Times New Roman" w:hAnsi="Times New Roman" w:cs="Times New Roman"/>
          <w:b/>
          <w:bCs/>
          <w:sz w:val="24"/>
          <w:szCs w:val="24"/>
          <w:lang w:val="bg"/>
        </w:rPr>
        <w:t xml:space="preserve">базова субсидия </w:t>
      </w:r>
      <w:r w:rsidRPr="006F07C3">
        <w:rPr>
          <w:rFonts w:ascii="Times New Roman" w:hAnsi="Times New Roman" w:cs="Times New Roman"/>
          <w:sz w:val="24"/>
          <w:szCs w:val="24"/>
          <w:lang w:val="bg"/>
        </w:rPr>
        <w:t>в размер на 7500 NOK</w:t>
      </w:r>
      <w:hyperlink w:anchor="bookmark18" w:tooltip="Current Document">
        <w:r w:rsidRPr="00BA7482">
          <w:rPr>
            <w:rStyle w:val="Hyperlink"/>
            <w:rFonts w:ascii="Times New Roman" w:hAnsi="Times New Roman" w:cs="Times New Roman"/>
            <w:sz w:val="24"/>
            <w:szCs w:val="24"/>
            <w:vertAlign w:val="superscript"/>
            <w:lang w:val="bg"/>
          </w:rPr>
          <w:footnoteReference w:id="12"/>
        </w:r>
      </w:hyperlink>
      <w:r w:rsidRPr="00BA7482">
        <w:rPr>
          <w:rFonts w:ascii="Times New Roman" w:hAnsi="Times New Roman" w:cs="Times New Roman"/>
          <w:sz w:val="24"/>
          <w:szCs w:val="24"/>
          <w:vertAlign w:val="superscript"/>
          <w:lang w:val="bg"/>
        </w:rPr>
        <w:t xml:space="preserve"> </w:t>
      </w:r>
      <w:r w:rsidRPr="006F07C3">
        <w:rPr>
          <w:rFonts w:ascii="Times New Roman" w:hAnsi="Times New Roman" w:cs="Times New Roman"/>
          <w:sz w:val="24"/>
          <w:szCs w:val="24"/>
          <w:lang w:val="bg"/>
        </w:rPr>
        <w:t xml:space="preserve">(приблизително 1290 BGN) плюс допълнителни 1250 NOK (приблизително 215 BGN) за kW инсталирана мощност. Enova предлага и субсидии в размер до 10000 NOK (приблизително </w:t>
      </w:r>
      <w:r w:rsidRPr="006F07C3">
        <w:rPr>
          <w:rFonts w:ascii="Times New Roman" w:hAnsi="Times New Roman" w:cs="Times New Roman"/>
          <w:sz w:val="24"/>
          <w:szCs w:val="24"/>
          <w:lang w:val="bg"/>
        </w:rPr>
        <w:lastRenderedPageBreak/>
        <w:t>1728 BGN) за системи за управление на енергията, които често се инсталират заедно със системи за слънчева енергия. Освен това много общини предоставят специфични безвъзмездни средства за домакинствата и предприятията за инсталиране на слънчеви панели. Innovation Norway също така предлага безвъзмездни средства и заеми на предприятия за проекти за енергия от възобновяеми източници, включително слънчева енергия.</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Клиентите на електроенергия, които произвеждат и собствена електроенергия, известни като произвеждащи потребители, се ползват от няколко финансови предимства в Норвегия.</w:t>
      </w:r>
      <w:hyperlink w:anchor="bookmark19" w:tooltip="Current Document">
        <w:r w:rsidRPr="00BA7482">
          <w:rPr>
            <w:rStyle w:val="Hyperlink"/>
            <w:rFonts w:ascii="Times New Roman" w:hAnsi="Times New Roman" w:cs="Times New Roman"/>
            <w:sz w:val="24"/>
            <w:szCs w:val="24"/>
            <w:vertAlign w:val="superscript"/>
            <w:lang w:val="bg"/>
          </w:rPr>
          <w:footnoteReference w:id="13"/>
        </w:r>
      </w:hyperlink>
      <w:r w:rsidRPr="006F07C3">
        <w:rPr>
          <w:rFonts w:ascii="Times New Roman" w:hAnsi="Times New Roman" w:cs="Times New Roman"/>
          <w:sz w:val="24"/>
          <w:szCs w:val="24"/>
          <w:lang w:val="bg"/>
        </w:rPr>
        <w:t xml:space="preserve"> Те са </w:t>
      </w:r>
      <w:r w:rsidRPr="006F07C3">
        <w:rPr>
          <w:rFonts w:ascii="Times New Roman" w:hAnsi="Times New Roman" w:cs="Times New Roman"/>
          <w:b/>
          <w:bCs/>
          <w:sz w:val="24"/>
          <w:szCs w:val="24"/>
          <w:lang w:val="bg"/>
        </w:rPr>
        <w:t>освободени от променливия компонент на наема за мрежата, както и от данъка върху електроенергията и ДДС</w:t>
      </w:r>
      <w:r w:rsidRPr="006F07C3">
        <w:rPr>
          <w:rFonts w:ascii="Times New Roman" w:hAnsi="Times New Roman" w:cs="Times New Roman"/>
          <w:sz w:val="24"/>
          <w:szCs w:val="24"/>
          <w:lang w:val="bg"/>
        </w:rPr>
        <w:t xml:space="preserve"> за електроенергията, която произвеждат и потребяват сами. Това освобождаване е част от регламент на Парламента, който обикновено изисква всеки да плаща данъци върху цялата електроенергия, доставена в Норвегия, включително произведената</w:t>
      </w:r>
      <w:r w:rsidR="006F07C3" w:rsidRPr="006F07C3">
        <w:rPr>
          <w:rFonts w:ascii="Times New Roman" w:hAnsi="Times New Roman" w:cs="Times New Roman"/>
          <w:sz w:val="24"/>
          <w:szCs w:val="24"/>
        </w:rPr>
        <w:t xml:space="preserve"> </w:t>
      </w:r>
      <w:r w:rsidRPr="006F07C3">
        <w:rPr>
          <w:rFonts w:ascii="Times New Roman" w:hAnsi="Times New Roman" w:cs="Times New Roman"/>
          <w:sz w:val="24"/>
          <w:szCs w:val="24"/>
          <w:lang w:val="bg"/>
        </w:rPr>
        <w:softHyphen/>
        <w:t xml:space="preserve">от него електроенергия. Целта на този регламент е да се генерират държавни приходи и да се намали потреблението на енергия. Само електроенергията, произведена от слънчеви клетки и използвана пряко от производителя, обаче е освободена от данък. За да отговаря на условията за това освобождаване, </w:t>
      </w:r>
      <w:r w:rsidRPr="006F07C3">
        <w:rPr>
          <w:rFonts w:ascii="Times New Roman" w:hAnsi="Times New Roman" w:cs="Times New Roman"/>
          <w:b/>
          <w:bCs/>
          <w:sz w:val="24"/>
          <w:szCs w:val="24"/>
          <w:lang w:val="bg"/>
        </w:rPr>
        <w:t>електроенергията трябва да е за лично ползване, да се произвежда на място и да се разпределя чрез вътрешно окабеляване.</w:t>
      </w:r>
      <w:r w:rsidRPr="006F07C3">
        <w:rPr>
          <w:rFonts w:ascii="Times New Roman" w:hAnsi="Times New Roman" w:cs="Times New Roman"/>
          <w:sz w:val="24"/>
          <w:szCs w:val="24"/>
          <w:lang w:val="bg"/>
        </w:rPr>
        <w:t xml:space="preserve"> Това означава, че собственото потребление на произвеждащите потребители на електроенергия на практика е безплатно, което осигурява силен стимул за собствено производство и потребление на енергия от възобновяеми източници.</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 xml:space="preserve">Освен това произвеждащите потребители </w:t>
      </w:r>
      <w:r w:rsidRPr="006F07C3">
        <w:rPr>
          <w:rFonts w:ascii="Times New Roman" w:hAnsi="Times New Roman" w:cs="Times New Roman"/>
          <w:b/>
          <w:bCs/>
          <w:sz w:val="24"/>
          <w:szCs w:val="24"/>
          <w:lang w:val="bg"/>
        </w:rPr>
        <w:t>могат да продават излишната електроенергия обратно на мрежата чрез схема „плюс клиенти“,</w:t>
      </w:r>
      <w:r w:rsidRPr="006F07C3">
        <w:rPr>
          <w:rFonts w:ascii="Times New Roman" w:hAnsi="Times New Roman" w:cs="Times New Roman"/>
          <w:sz w:val="24"/>
          <w:szCs w:val="24"/>
          <w:lang w:val="bg"/>
        </w:rPr>
        <w:t xml:space="preserve"> при условие че имат споразумение с доставчик на електроенергия, който предлага тази възможност. По време на периоди, когато тяхното производство надвишава тяхното потребление, те могат да подават излишната енергия обратно в мрежата. Енергийният поток се измерва с помощта на интелигентен измервателен уред, който следи както потреблението, така и производството. Плюс клиентите не плащат фиксирана такса за захранване и получават спот цената за продадената си електроенергия. Тази схема е </w:t>
      </w:r>
      <w:r w:rsidRPr="006F07C3">
        <w:rPr>
          <w:rFonts w:ascii="Times New Roman" w:hAnsi="Times New Roman" w:cs="Times New Roman"/>
          <w:b/>
          <w:bCs/>
          <w:sz w:val="24"/>
          <w:szCs w:val="24"/>
          <w:lang w:val="bg"/>
        </w:rPr>
        <w:t xml:space="preserve">предназначена за единични клиенти с производствен капацитет под 100 kW </w:t>
      </w:r>
      <w:r w:rsidRPr="006F07C3">
        <w:rPr>
          <w:rFonts w:ascii="Times New Roman" w:hAnsi="Times New Roman" w:cs="Times New Roman"/>
          <w:sz w:val="24"/>
          <w:szCs w:val="24"/>
          <w:lang w:val="bg"/>
        </w:rPr>
        <w:t>и насърчава дребномащабното разпределено производство. Произвеждащите потребители обаче, които инжектират над 100 kW и до 9 GW, подлежат на тарифи и тран</w:t>
      </w:r>
      <w:r w:rsidR="006F07C3" w:rsidRPr="006F07C3">
        <w:rPr>
          <w:rFonts w:ascii="Times New Roman" w:hAnsi="Times New Roman" w:cs="Times New Roman"/>
          <w:sz w:val="24"/>
          <w:szCs w:val="24"/>
          <w:lang w:val="bg"/>
        </w:rPr>
        <w:t>з</w:t>
      </w:r>
      <w:r w:rsidRPr="006F07C3">
        <w:rPr>
          <w:rFonts w:ascii="Times New Roman" w:hAnsi="Times New Roman" w:cs="Times New Roman"/>
          <w:sz w:val="24"/>
          <w:szCs w:val="24"/>
          <w:lang w:val="bg"/>
        </w:rPr>
        <w:t>акционни разходи. Въпреки че приходите от продажбата на произведена от самите тях електроенергия по принцип подлежат на данъчно облагане, министерството заяви, че засега няма да ги облага с данък поради сложността на различните договорни споразумения. Към декември 2024 г. в Норвегия има около 33 100 регистрирани плюс</w:t>
      </w:r>
      <w:r w:rsidR="006F07C3" w:rsidRPr="006F07C3">
        <w:rPr>
          <w:rFonts w:ascii="Times New Roman" w:hAnsi="Times New Roman" w:cs="Times New Roman"/>
          <w:sz w:val="24"/>
          <w:szCs w:val="24"/>
          <w:lang w:val="bg"/>
        </w:rPr>
        <w:t xml:space="preserve"> </w:t>
      </w:r>
      <w:r w:rsidRPr="006F07C3">
        <w:rPr>
          <w:rFonts w:ascii="Times New Roman" w:hAnsi="Times New Roman" w:cs="Times New Roman"/>
          <w:sz w:val="24"/>
          <w:szCs w:val="24"/>
          <w:lang w:val="bg"/>
        </w:rPr>
        <w:softHyphen/>
        <w:t>клиенти, от които 26 900 са жилищни и 6 200 са търговски клиенти. Актуализирани статистически данни могат да бъдат намерени на уебстраницата на NVE-RME</w:t>
      </w:r>
      <w:hyperlink w:anchor="bookmark20" w:tooltip="Current Document">
        <w:r w:rsidRPr="00BA7482">
          <w:rPr>
            <w:rStyle w:val="Hyperlink"/>
            <w:rFonts w:ascii="Times New Roman" w:hAnsi="Times New Roman" w:cs="Times New Roman"/>
            <w:sz w:val="24"/>
            <w:szCs w:val="24"/>
            <w:vertAlign w:val="superscript"/>
            <w:lang w:val="bg"/>
          </w:rPr>
          <w:footnoteReference w:id="14"/>
        </w:r>
      </w:hyperlink>
      <w:r w:rsidRPr="00BA7482">
        <w:rPr>
          <w:rFonts w:ascii="Times New Roman" w:hAnsi="Times New Roman" w:cs="Times New Roman"/>
          <w:sz w:val="24"/>
          <w:szCs w:val="24"/>
          <w:vertAlign w:val="superscript"/>
          <w:lang w:val="bg"/>
        </w:rPr>
        <w:t>.</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Норвежкото правителство наскоро разшири схемата „плюс клиенти“, за да даде възможност за споделяне на самостоятелно произведена слънчева електроенергия.</w:t>
      </w:r>
      <w:hyperlink w:anchor="bookmark21" w:tooltip="Current Document">
        <w:r w:rsidRPr="00BA7482">
          <w:rPr>
            <w:rStyle w:val="Hyperlink"/>
            <w:rFonts w:ascii="Times New Roman" w:hAnsi="Times New Roman" w:cs="Times New Roman"/>
            <w:sz w:val="24"/>
            <w:szCs w:val="24"/>
            <w:vertAlign w:val="superscript"/>
            <w:lang w:val="bg"/>
          </w:rPr>
          <w:footnoteReference w:id="15"/>
        </w:r>
      </w:hyperlink>
      <w:r w:rsidRPr="006F07C3">
        <w:rPr>
          <w:rFonts w:ascii="Times New Roman" w:hAnsi="Times New Roman" w:cs="Times New Roman"/>
          <w:sz w:val="24"/>
          <w:szCs w:val="24"/>
          <w:lang w:val="bg"/>
        </w:rPr>
        <w:t xml:space="preserve"> Считано от 1 </w:t>
      </w:r>
      <w:r w:rsidRPr="006F07C3">
        <w:rPr>
          <w:rFonts w:ascii="Times New Roman" w:hAnsi="Times New Roman" w:cs="Times New Roman"/>
          <w:sz w:val="24"/>
          <w:szCs w:val="24"/>
          <w:lang w:val="bg"/>
        </w:rPr>
        <w:lastRenderedPageBreak/>
        <w:t xml:space="preserve">октомври 2023 г., </w:t>
      </w:r>
      <w:r w:rsidRPr="006F07C3">
        <w:rPr>
          <w:rFonts w:ascii="Times New Roman" w:hAnsi="Times New Roman" w:cs="Times New Roman"/>
          <w:b/>
          <w:bCs/>
          <w:sz w:val="24"/>
          <w:szCs w:val="24"/>
          <w:lang w:val="bg"/>
        </w:rPr>
        <w:t>нов модел дава възможност за споделяне на излишъка от производство от инсталации с инсталирана мощност до 1 MW,</w:t>
      </w:r>
      <w:r w:rsidRPr="006F07C3">
        <w:rPr>
          <w:rFonts w:ascii="Times New Roman" w:hAnsi="Times New Roman" w:cs="Times New Roman"/>
          <w:sz w:val="24"/>
          <w:szCs w:val="24"/>
          <w:lang w:val="bg"/>
        </w:rPr>
        <w:t xml:space="preserve"> като се посочва номиналната мощност на инвертора. Схемата е валидна за имоти с множество абонати на електрическа енергия, при условие че се намират в рамките на един и същ имот, определен от една и съща община, кадастрален и имуществен номер. Това включва жителите на жилищни комплекси, многофамилни къщи и търговски сгради. Абонатите могат да споделят излишната енергия, без да плащат данъци върху нея. Този излишък от енергия обаче не може да бъде допълнително разпределен на други клиенти на мрежата, а абонатите, получаващи споделено производство, не могат да разполагат със собствено производство зад измервателния си уред. Ако инсталираната мощност на имота надвишава 1 MW, електроенергията, произведена от свръхкапацитета, няма да отговаря на условията за освобождаване от данъци.</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 xml:space="preserve">На практика </w:t>
      </w:r>
      <w:r w:rsidRPr="006F07C3">
        <w:rPr>
          <w:rFonts w:ascii="Times New Roman" w:hAnsi="Times New Roman" w:cs="Times New Roman"/>
          <w:b/>
          <w:bCs/>
          <w:sz w:val="24"/>
          <w:szCs w:val="24"/>
          <w:lang w:val="bg"/>
        </w:rPr>
        <w:t>споделянето на енергия се управлява чрез виртуална разпределителна система, като изчисленията се обработват от Elhub</w:t>
      </w:r>
      <w:r w:rsidRPr="006F07C3">
        <w:rPr>
          <w:rFonts w:ascii="Times New Roman" w:hAnsi="Times New Roman" w:cs="Times New Roman"/>
          <w:sz w:val="24"/>
          <w:szCs w:val="24"/>
          <w:lang w:val="bg"/>
        </w:rPr>
        <w:t>. Интелигентните измервателни уреди, които са ключови компоненти на тази система, предоставят данни в реално време за производството и потреблението на енергия. Това позволява прецизно проследяване и разпределение на енергията, споделена в рамките на даден имот. Потреблението и производството на енергия се измерват поотделно, а количеството на производството се приспада от измереното потребление на всеки измервателен уред за потребление. Участниците могат да избират между равномерно разпределение (всеки метър получава равен дял от излишъка) или персонализирано статично разпределение (въз основа на фактори като инвестиционен дял или размер на апартамента). Понастоящем обаче регламентът ограничава споделянето на енергия до физически връзки в рамките на един и същ имот. Това означава, че жителите на различни сгради или общности не могат да създадат виртуална мрежа за споделяне на излишъка от производство. Моделът се съсредоточава главно върху предоставянето на възможност на жилищните асоциации да споделят енергия от възобновяеми източници сред своите жители. В него все още не са включени по-широки модели за споделяне на енергия в общността, които включват множество имоти или предприятия. Към януари 2025 г. има 192 точки на свързване, които през 2024 г. са споделяли 5200 MWh. Актуализирани статистически данни могат да бъдат намерени на уебстраницата на Elhub</w:t>
      </w:r>
      <w:hyperlink w:anchor="bookmark22" w:tooltip="Current Document">
        <w:r w:rsidRPr="00BA7482">
          <w:rPr>
            <w:rStyle w:val="Hyperlink"/>
            <w:rFonts w:ascii="Times New Roman" w:hAnsi="Times New Roman" w:cs="Times New Roman"/>
            <w:sz w:val="24"/>
            <w:szCs w:val="24"/>
            <w:vertAlign w:val="superscript"/>
            <w:lang w:val="bg"/>
          </w:rPr>
          <w:footnoteReference w:id="16"/>
        </w:r>
      </w:hyperlink>
      <w:r w:rsidRPr="006F07C3">
        <w:rPr>
          <w:rFonts w:ascii="Times New Roman" w:hAnsi="Times New Roman" w:cs="Times New Roman"/>
          <w:sz w:val="24"/>
          <w:szCs w:val="24"/>
          <w:lang w:val="bg"/>
        </w:rPr>
        <w:t>.</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Министерството на енергетиката възложи на RME да предложи нова схема за споделяне, специално пригодена за сферите на дейност, за да се улесни споделянето на собствено произведена електроенергия между клиентите на мрежата. В началото на декември 2024 г. беше публикувано предложение с цел то да влезе в сила през лятото на 2025 г. В настоящото предложение, което следва доклад, публикуван от RME в началото</w:t>
      </w:r>
      <w:hyperlink w:anchor="bookmark23" w:tooltip="Current Document">
        <w:r w:rsidRPr="00BA7482">
          <w:rPr>
            <w:rStyle w:val="Hyperlink"/>
            <w:rFonts w:ascii="Times New Roman" w:hAnsi="Times New Roman" w:cs="Times New Roman"/>
            <w:sz w:val="24"/>
            <w:szCs w:val="24"/>
            <w:vertAlign w:val="superscript"/>
            <w:lang w:val="bg"/>
          </w:rPr>
          <w:footnoteReference w:id="17"/>
        </w:r>
      </w:hyperlink>
      <w:r w:rsidRPr="006F07C3">
        <w:rPr>
          <w:rFonts w:ascii="Times New Roman" w:hAnsi="Times New Roman" w:cs="Times New Roman"/>
          <w:sz w:val="24"/>
          <w:szCs w:val="24"/>
          <w:lang w:val="bg"/>
        </w:rPr>
        <w:t xml:space="preserve"> на 2024 г., се препоръчват изменения на съществуващата схема за споделяне. Основното предложение е да се позволи на производителите да споделят електроенергия с клиенти, намиращи се в съседни имоти, с увеличено ограничение за размера на производственото съоръжение до 5 MW. Тази нова схема ще допълни съществуващата и ще бъде насочена предимно към клиенти с годишно потребление над 100 000 kWh, които подлежат на мрежови тарифи, отразяващи пределните разходи за загуби. Съгласно предложената схема произвеждащите </w:t>
      </w:r>
      <w:r w:rsidRPr="006F07C3">
        <w:rPr>
          <w:rFonts w:ascii="Times New Roman" w:hAnsi="Times New Roman" w:cs="Times New Roman"/>
          <w:sz w:val="24"/>
          <w:szCs w:val="24"/>
          <w:lang w:val="bg"/>
        </w:rPr>
        <w:lastRenderedPageBreak/>
        <w:t>потребители биха могли да споделят електроенергията виртуално с други клиенти на същия имот и всички техни съседни имоти, включително несъседни съседни имоти. По-специално предложението не налага ограничение на броя на съседите, с които може да се споделя електроенергия. Ако бъде изпълнено, това би било значителна стъпка към прилагането на LEC в Норвегия.</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Друга иновативна инициатива, която улеснява споделянето на излишъка от слънчева електроенергия в рамките на кварталите, е инициативата eNabo на Norgesnett, норвежки ОРС.</w:t>
      </w:r>
      <w:hyperlink w:anchor="bookmark24" w:tooltip="Current Document">
        <w:r w:rsidRPr="00BA7482">
          <w:rPr>
            <w:rStyle w:val="Hyperlink"/>
            <w:rFonts w:ascii="Times New Roman" w:hAnsi="Times New Roman" w:cs="Times New Roman"/>
            <w:sz w:val="24"/>
            <w:szCs w:val="24"/>
            <w:vertAlign w:val="superscript"/>
            <w:lang w:val="bg"/>
          </w:rPr>
          <w:footnoteReference w:id="18"/>
        </w:r>
      </w:hyperlink>
      <w:r w:rsidRPr="006F07C3">
        <w:rPr>
          <w:rFonts w:ascii="Times New Roman" w:hAnsi="Times New Roman" w:cs="Times New Roman"/>
          <w:sz w:val="24"/>
          <w:szCs w:val="24"/>
          <w:lang w:val="bg"/>
        </w:rPr>
        <w:t xml:space="preserve"> Въпреки че не е формализиран LEC, той действа като предшественик на такива общности, като позволява на домакинствата да споделят излишната слънчева енергия. Това ефективно създава енергийна общност, в която членовете могат да се възползват взаимно от излишното производство на енергия. Участниците могат да се възползват от намалени такси за мрежата, като таксуват своите ЕПС с излишъка от слънчева енергия, насърчавайки подход на сътрудничество по отношение на потреблението на енергия. Инициативата насърчава интелигентното зареждане на мрежата, в съответствие с принципите на LEC, като оптимизира времето за потребление на енергия в полза на цялата електрическа мрежа на общността. Като използва местни възобновяеми енергийни източници, eNabo повишава устойчивостта и издръжливостта на енергийните доставки на общността, като намалява зависимостта от външни енергийни източници. Освен това участниците получават компенсация за използването на местна слънчева енергия, която служи като дивидент за общността, като възнаграждава домакинствата за приноса им към местната енергийна екосистема. Тази инициатива е значителна стъпка към по-устойчиви и ориентирани към общностите енергийни решения, отразяващи потенциала на местните енергийни общности да играят роля в енергийния преход на Норвегия.</w:t>
      </w:r>
    </w:p>
    <w:p w:rsidR="007906A8" w:rsidRPr="007906A8" w:rsidRDefault="007906A8" w:rsidP="007906A8">
      <w:pPr>
        <w:rPr>
          <w:lang w:val="bg"/>
        </w:rPr>
      </w:pPr>
      <w:r w:rsidRPr="007906A8">
        <w:rPr>
          <w:noProof/>
          <w:lang w:val="bg-BG" w:eastAsia="bg-BG"/>
        </w:rPr>
        <w:drawing>
          <wp:inline distT="0" distB="0" distL="0" distR="0" wp14:anchorId="48C3393E" wp14:editId="0477DA91">
            <wp:extent cx="2170430" cy="1847215"/>
            <wp:effectExtent l="0" t="0" r="0" b="0"/>
            <wp:docPr id="47" name="Пикутър 47"/>
            <wp:cNvGraphicFramePr/>
            <a:graphic xmlns:a="http://schemas.openxmlformats.org/drawingml/2006/main">
              <a:graphicData uri="http://schemas.openxmlformats.org/drawingml/2006/picture">
                <pic:pic xmlns:pic="http://schemas.openxmlformats.org/drawingml/2006/picture">
                  <pic:nvPicPr>
                    <pic:cNvPr id="47" name="Снимка 47"/>
                    <pic:cNvPicPr/>
                  </pic:nvPicPr>
                  <pic:blipFill>
                    <a:blip r:embed="rId26"/>
                    <a:stretch/>
                  </pic:blipFill>
                  <pic:spPr>
                    <a:xfrm>
                      <a:off x="0" y="0"/>
                      <a:ext cx="2170430" cy="1847215"/>
                    </a:xfrm>
                    <a:prstGeom prst="rect">
                      <a:avLst/>
                    </a:prstGeom>
                  </pic:spPr>
                </pic:pic>
              </a:graphicData>
            </a:graphic>
          </wp:inline>
        </w:drawing>
      </w:r>
    </w:p>
    <w:p w:rsidR="007906A8" w:rsidRDefault="007906A8" w:rsidP="00B01311">
      <w:pPr>
        <w:pStyle w:val="Heading3"/>
        <w:numPr>
          <w:ilvl w:val="2"/>
          <w:numId w:val="65"/>
        </w:numPr>
        <w:spacing w:line="276" w:lineRule="auto"/>
        <w:jc w:val="both"/>
        <w:rPr>
          <w:rFonts w:ascii="Times New Roman" w:hAnsi="Times New Roman" w:cs="Times New Roman"/>
          <w:color w:val="049494"/>
          <w:sz w:val="28"/>
          <w:szCs w:val="28"/>
          <w:lang w:val="bg"/>
        </w:rPr>
      </w:pPr>
      <w:bookmarkStart w:id="83" w:name="bookmark243"/>
      <w:bookmarkStart w:id="84" w:name="bookmark242"/>
      <w:bookmarkStart w:id="85" w:name="_Toc203141271"/>
      <w:r w:rsidRPr="006F07C3">
        <w:rPr>
          <w:rFonts w:ascii="Times New Roman" w:hAnsi="Times New Roman" w:cs="Times New Roman"/>
          <w:color w:val="049494"/>
          <w:sz w:val="28"/>
          <w:szCs w:val="28"/>
          <w:lang w:val="bg"/>
        </w:rPr>
        <w:t>Отговорности и операции на операторите на разпределителни системи в Норвегия</w:t>
      </w:r>
      <w:bookmarkEnd w:id="83"/>
      <w:bookmarkEnd w:id="84"/>
      <w:bookmarkEnd w:id="85"/>
    </w:p>
    <w:p w:rsidR="00082BFC" w:rsidRPr="00082BFC" w:rsidRDefault="00082BFC" w:rsidP="00082BFC">
      <w:pPr>
        <w:pStyle w:val="ListParagraph"/>
        <w:ind w:left="1080"/>
        <w:rPr>
          <w:lang w:val="bg"/>
        </w:rPr>
      </w:pP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sz w:val="24"/>
          <w:szCs w:val="24"/>
          <w:lang w:val="bg"/>
        </w:rPr>
        <w:t>Електрическата мрежа в Норвегия е разделена на три основни нива: преносната мрежа, регионалната разпределителна мрежа и местната разпределителна мрежа.</w:t>
      </w:r>
      <w:hyperlink w:anchor="bookmark25" w:tooltip="Current Document">
        <w:r w:rsidRPr="00BA7482">
          <w:rPr>
            <w:rStyle w:val="Hyperlink"/>
            <w:rFonts w:ascii="Times New Roman" w:hAnsi="Times New Roman" w:cs="Times New Roman"/>
            <w:sz w:val="24"/>
            <w:szCs w:val="24"/>
            <w:vertAlign w:val="superscript"/>
            <w:lang w:val="bg"/>
          </w:rPr>
          <w:footnoteReference w:id="19"/>
        </w:r>
      </w:hyperlink>
      <w:r w:rsidRPr="006F07C3">
        <w:rPr>
          <w:rFonts w:ascii="Times New Roman" w:hAnsi="Times New Roman" w:cs="Times New Roman"/>
          <w:sz w:val="24"/>
          <w:szCs w:val="24"/>
          <w:lang w:val="bg"/>
        </w:rPr>
        <w:t xml:space="preserve"> Всяко ниво играе различна роля в преноса и разпределението на електроенергия от производителите до потребителите.</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b/>
          <w:bCs/>
          <w:sz w:val="24"/>
          <w:szCs w:val="24"/>
          <w:lang w:val="bg"/>
        </w:rPr>
        <w:lastRenderedPageBreak/>
        <w:t>Преносна мрежа:</w:t>
      </w:r>
      <w:r w:rsidRPr="006F07C3">
        <w:rPr>
          <w:rFonts w:ascii="Times New Roman" w:hAnsi="Times New Roman" w:cs="Times New Roman"/>
          <w:sz w:val="24"/>
          <w:szCs w:val="24"/>
          <w:lang w:val="bg"/>
        </w:rPr>
        <w:t xml:space="preserve"> Управлявана от Statnett, преносната мрежа пренася електроенергия с високо напрежение, обикновено между 132 kV и 420 kV. Тя свързва големи електроцентрали с регионални мрежи и включва междусистемни връзки с други държави, улеснявайки международния обмен на електроенергия. Преносната мрежа е от решаващо значение за балансиране на търсенето и предлагането в големи райони и за гарантиране на стабилността на националната електроенергийна система.</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b/>
          <w:bCs/>
          <w:sz w:val="24"/>
          <w:szCs w:val="24"/>
          <w:lang w:val="bg"/>
        </w:rPr>
        <w:t>Регионална разпределителна мрежа:</w:t>
      </w:r>
      <w:r w:rsidRPr="006F07C3">
        <w:rPr>
          <w:rFonts w:ascii="Times New Roman" w:hAnsi="Times New Roman" w:cs="Times New Roman"/>
          <w:sz w:val="24"/>
          <w:szCs w:val="24"/>
          <w:lang w:val="bg"/>
        </w:rPr>
        <w:t xml:space="preserve"> Тази мрежа свързва преносната мрежа с локалните разпределителни мрежи и може да пренася напрежения между 33 kV и 132 kV. Той служи като посредник, като разпределя електроенергията от преносната мрежа към местните мрежи, а понякога и директно към големите промишлени потребители.</w:t>
      </w:r>
    </w:p>
    <w:p w:rsidR="007906A8" w:rsidRPr="006F07C3" w:rsidRDefault="007906A8" w:rsidP="006F07C3">
      <w:pPr>
        <w:spacing w:line="276" w:lineRule="auto"/>
        <w:jc w:val="both"/>
        <w:rPr>
          <w:rFonts w:ascii="Times New Roman" w:hAnsi="Times New Roman" w:cs="Times New Roman"/>
          <w:sz w:val="24"/>
          <w:szCs w:val="24"/>
          <w:lang w:val="bg"/>
        </w:rPr>
      </w:pPr>
      <w:r w:rsidRPr="006F07C3">
        <w:rPr>
          <w:rFonts w:ascii="Times New Roman" w:hAnsi="Times New Roman" w:cs="Times New Roman"/>
          <w:b/>
          <w:bCs/>
          <w:sz w:val="24"/>
          <w:szCs w:val="24"/>
          <w:lang w:val="bg"/>
        </w:rPr>
        <w:t>Локална разпределителна мрежа:</w:t>
      </w:r>
      <w:r w:rsidRPr="006F07C3">
        <w:rPr>
          <w:rFonts w:ascii="Times New Roman" w:hAnsi="Times New Roman" w:cs="Times New Roman"/>
          <w:sz w:val="24"/>
          <w:szCs w:val="24"/>
          <w:lang w:val="bg"/>
        </w:rPr>
        <w:t xml:space="preserve"> Местната разпределителна мрежа работи при напрежения под 22 kV и отговаря за доставянето на електроенергия директно на битови и малки търговски потребители. Тя се управлява от различни ОРС, които осигуряват надеждна доставка на електроенергия до крайните потребители и поддържат инфраструктурата.</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Statnett е определеният ОПС в Норвегия. Неговите отговорности включват поддържане на баланса между предлагането и търсенето на електроенергия, осигуряване на регулиране на честотата и разработване на пазарни решения за оптимизиране на електроенергийната система.</w:t>
      </w:r>
      <w:hyperlink w:anchor="bookmark26" w:tooltip="Current Document">
        <w:r w:rsidRPr="00BA7482">
          <w:rPr>
            <w:rStyle w:val="Hyperlink"/>
            <w:rFonts w:ascii="Times New Roman" w:hAnsi="Times New Roman" w:cs="Times New Roman"/>
            <w:sz w:val="24"/>
            <w:szCs w:val="24"/>
            <w:vertAlign w:val="superscript"/>
            <w:lang w:val="bg"/>
          </w:rPr>
          <w:footnoteReference w:id="20"/>
        </w:r>
      </w:hyperlink>
      <w:r w:rsidRPr="00502BB0">
        <w:rPr>
          <w:rFonts w:ascii="Times New Roman" w:hAnsi="Times New Roman" w:cs="Times New Roman"/>
          <w:sz w:val="24"/>
          <w:szCs w:val="24"/>
          <w:lang w:val="bg"/>
        </w:rPr>
        <w:t xml:space="preserve"> </w:t>
      </w:r>
      <w:r w:rsidR="00502BB0" w:rsidRPr="00502BB0">
        <w:rPr>
          <w:rFonts w:ascii="Times New Roman" w:hAnsi="Times New Roman" w:cs="Times New Roman"/>
          <w:sz w:val="24"/>
          <w:szCs w:val="24"/>
        </w:rPr>
        <w:t xml:space="preserve"> </w:t>
      </w:r>
      <w:r w:rsidRPr="00502BB0">
        <w:rPr>
          <w:rFonts w:ascii="Times New Roman" w:hAnsi="Times New Roman" w:cs="Times New Roman"/>
          <w:sz w:val="24"/>
          <w:szCs w:val="24"/>
          <w:lang w:val="bg"/>
        </w:rPr>
        <w:t>Statnett също така координира поддръжката и планирането на мрежата, наблюдава енергийните потоци и улеснява международната търговия с електроенергия чрез междусистемни връзки. ОРС управляват регионалните и местните разпределителни мрежи. Основните им отговорности включват осигуряване на надеждно електрозахранване, поддържане и модернизиране на мрежовата инфраструктура и интегриране на възобновяеми енергийни източници. Операторите на разпределителни системи също така се занимават с управлението на данните на клиентите, спазват регулаторните стандарти и прилагат инициативи за цифровизация с цел подобряване на ефективността на мрежата.</w:t>
      </w:r>
      <w:hyperlink w:anchor="bookmark27" w:tooltip="Current Document">
        <w:r w:rsidRPr="00BA7482">
          <w:rPr>
            <w:rStyle w:val="Hyperlink"/>
            <w:rFonts w:ascii="Times New Roman" w:hAnsi="Times New Roman" w:cs="Times New Roman"/>
            <w:sz w:val="24"/>
            <w:szCs w:val="24"/>
            <w:vertAlign w:val="superscript"/>
            <w:lang w:val="bg"/>
          </w:rPr>
          <w:footnoteReference w:id="21"/>
        </w:r>
      </w:hyperlink>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Норвегия е разделена на пет зони на цените на електроенергията, в които спот цената на електроенергията може да варира в зависимост от местните условия на търсене и предлагане. Тези зони се определят от Statnett и отразяват ограниченията и капацитета на преносната мрежа. Спот цените могат да се различават значително в различните райони, повлияни от фактори като регионални равнища на производство, модели на потребление и претоварване на мрежата.</w:t>
      </w:r>
    </w:p>
    <w:p w:rsidR="007906A8" w:rsidRPr="00502BB0" w:rsidRDefault="007906A8" w:rsidP="00502BB0">
      <w:pPr>
        <w:spacing w:line="276" w:lineRule="auto"/>
        <w:jc w:val="both"/>
        <w:rPr>
          <w:rFonts w:ascii="Times New Roman" w:hAnsi="Times New Roman" w:cs="Times New Roman"/>
          <w:color w:val="049494"/>
          <w:sz w:val="24"/>
          <w:szCs w:val="24"/>
          <w:lang w:val="bg"/>
        </w:rPr>
      </w:pPr>
      <w:bookmarkStart w:id="89" w:name="bookmark245"/>
      <w:r w:rsidRPr="00502BB0">
        <w:rPr>
          <w:rFonts w:ascii="Times New Roman" w:hAnsi="Times New Roman" w:cs="Times New Roman"/>
          <w:color w:val="049494"/>
          <w:sz w:val="24"/>
          <w:szCs w:val="24"/>
          <w:lang w:val="bg"/>
        </w:rPr>
        <w:t>Основни отговорности на операторите на разпределителни системи в Норвегия</w:t>
      </w:r>
      <w:bookmarkEnd w:id="89"/>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 xml:space="preserve">ОРС в Норвегия имат многостранна роля за осигуряване на ефективна и надеждна доставка на електроенергия на потребителите. Техните отговорности се ръководят от всеобхватна регулаторна рамка, предназначена да насърчава стабилността, устойчивостта и иновациите в енергийния сектор. Една от основните отговорности на операторите на разпределителни системи е да осигурят надеждно електрозахранване. Това включва поддръжка и експлоатация на инфраструктурата на електрическата мрежа, включително регионалните и </w:t>
      </w:r>
      <w:r w:rsidRPr="00502BB0">
        <w:rPr>
          <w:rFonts w:ascii="Times New Roman" w:hAnsi="Times New Roman" w:cs="Times New Roman"/>
          <w:sz w:val="24"/>
          <w:szCs w:val="24"/>
          <w:lang w:val="bg"/>
        </w:rPr>
        <w:lastRenderedPageBreak/>
        <w:t>местните разпределителни мрежи. ОРС трябва да гарантират, че електроенергията се доставя последователно на потребителите, независимо от външни предизвикателства, като например неблагоприятни метеорологични условия или технически проблеми. Това изисква редовна поддръжка и модернизиране на мрежата, за да се предотвратят прекъсвания и да се осигури стабилно снабдяване. ОРС също играят решаваща роля за насърчаване на екологичния преход. Те улесняват интегрирането на възобновяеми енергийни източници в мрежата, като подкрепят целите на Норвегия за намаляване на въглеродните емисии и увеличаване на използването на устойчива енергия. Това включва осигуряване на възможност за електрификация на различни сектори и приемане на нови технологии като слънчевата и вятърната енергия.</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Норвежкият орган за енергийно регулиране (NVE-RME) упражнява надзор върху икономическите аспекти на дейностите на операторите на разпределителни системи,</w:t>
      </w:r>
      <w:hyperlink w:anchor="bookmark28" w:tooltip="Current Document">
        <w:r w:rsidRPr="00BA7482">
          <w:rPr>
            <w:rStyle w:val="Hyperlink"/>
            <w:rFonts w:ascii="Times New Roman" w:hAnsi="Times New Roman" w:cs="Times New Roman"/>
            <w:sz w:val="24"/>
            <w:szCs w:val="24"/>
            <w:vertAlign w:val="superscript"/>
            <w:lang w:val="bg"/>
          </w:rPr>
          <w:footnoteReference w:id="22"/>
        </w:r>
      </w:hyperlink>
      <w:r w:rsidRPr="00BA7482">
        <w:rPr>
          <w:rFonts w:ascii="Times New Roman" w:hAnsi="Times New Roman" w:cs="Times New Roman"/>
          <w:sz w:val="24"/>
          <w:szCs w:val="24"/>
          <w:vertAlign w:val="superscript"/>
          <w:lang w:val="bg"/>
        </w:rPr>
        <w:t xml:space="preserve"> </w:t>
      </w:r>
      <w:r w:rsidRPr="00502BB0">
        <w:rPr>
          <w:rFonts w:ascii="Times New Roman" w:hAnsi="Times New Roman" w:cs="Times New Roman"/>
          <w:sz w:val="24"/>
          <w:szCs w:val="24"/>
          <w:lang w:val="bg"/>
        </w:rPr>
        <w:t>включително определянето на тавани на приходите и наблюдението на съответствието. Настоящият регламент гарантира, че операторите на разпределителни системи работят ефективно и поддържат мрежовата инфраструктура, като същевременно поддържат разходите разумни за потребителите. ОРС трябва да планират и изпълняват разширяването на</w:t>
      </w:r>
      <w:r w:rsidRPr="007906A8">
        <w:rPr>
          <w:lang w:val="bg"/>
        </w:rPr>
        <w:t xml:space="preserve"> </w:t>
      </w:r>
      <w:r w:rsidRPr="00502BB0">
        <w:rPr>
          <w:rFonts w:ascii="Times New Roman" w:hAnsi="Times New Roman" w:cs="Times New Roman"/>
          <w:sz w:val="24"/>
          <w:szCs w:val="24"/>
          <w:lang w:val="bg"/>
        </w:rPr>
        <w:t>електроенергийната мрежа по икономически ефективен начин, като оптимизират ресурсите и сведат до минимум разходите.</w:t>
      </w:r>
    </w:p>
    <w:p w:rsidR="007906A8" w:rsidRPr="00082BFC" w:rsidRDefault="007906A8" w:rsidP="00502BB0">
      <w:pPr>
        <w:spacing w:line="276" w:lineRule="auto"/>
        <w:jc w:val="both"/>
        <w:rPr>
          <w:rFonts w:ascii="Times New Roman" w:hAnsi="Times New Roman" w:cs="Times New Roman"/>
          <w:i/>
          <w:color w:val="049494"/>
          <w:sz w:val="28"/>
          <w:szCs w:val="28"/>
          <w:lang w:val="bg"/>
        </w:rPr>
      </w:pPr>
      <w:r w:rsidRPr="00082BFC">
        <w:rPr>
          <w:rFonts w:ascii="Times New Roman" w:hAnsi="Times New Roman" w:cs="Times New Roman"/>
          <w:i/>
          <w:color w:val="049494"/>
          <w:sz w:val="28"/>
          <w:szCs w:val="28"/>
          <w:lang w:val="bg"/>
        </w:rPr>
        <w:t>Цифровизацията и иновациите са от съществено значение, за да могат операторите на разпределителни системи да подобрят ефективността и да изпълняват ефективно своите задачи. Това включва въвеждането на интелигентни измервателни уреди и други модерни технологии, които предоставят данни в реално време за потреблението на електроенергия и ефективността на мрежата. Тези технологии помагат на операторите на разпределителни системи да управляват по-добре мрежата, да намалят оперативните разходи и да подобрят предоставянето на услуги.</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Операторите на разпределителни системи отговарят и за управлението и защитата на данните на клиентите. Те трябва да спазват националните разпоредби и разпоредбите на ЕС, за да се гарантира сигурен обмен на данни и да се запази неприкосновеността на личния живот на клиентите.</w:t>
      </w:r>
      <w:hyperlink w:anchor="bookmark29" w:tooltip="Current Document">
        <w:r w:rsidRPr="00BA7482">
          <w:rPr>
            <w:rStyle w:val="Hyperlink"/>
            <w:rFonts w:ascii="Times New Roman" w:hAnsi="Times New Roman" w:cs="Times New Roman"/>
            <w:sz w:val="24"/>
            <w:szCs w:val="24"/>
            <w:vertAlign w:val="superscript"/>
            <w:lang w:val="bg"/>
          </w:rPr>
          <w:footnoteReference w:id="23"/>
        </w:r>
      </w:hyperlink>
      <w:r w:rsidRPr="00BA7482">
        <w:rPr>
          <w:rFonts w:ascii="Times New Roman" w:hAnsi="Times New Roman" w:cs="Times New Roman"/>
          <w:sz w:val="24"/>
          <w:szCs w:val="24"/>
          <w:vertAlign w:val="superscript"/>
          <w:lang w:val="bg"/>
        </w:rPr>
        <w:t xml:space="preserve"> </w:t>
      </w:r>
      <w:r w:rsidRPr="00502BB0">
        <w:rPr>
          <w:rFonts w:ascii="Times New Roman" w:hAnsi="Times New Roman" w:cs="Times New Roman"/>
          <w:sz w:val="24"/>
          <w:szCs w:val="24"/>
          <w:lang w:val="bg"/>
        </w:rPr>
        <w:t>Това включва въвеждането на надеждни системи и протоколи за управление на данните с цел защита на чувствителната информация.</w:t>
      </w:r>
    </w:p>
    <w:p w:rsidR="007906A8" w:rsidRPr="00502BB0" w:rsidRDefault="007906A8" w:rsidP="00502BB0">
      <w:pPr>
        <w:spacing w:line="276" w:lineRule="auto"/>
        <w:jc w:val="both"/>
        <w:rPr>
          <w:rFonts w:ascii="Times New Roman" w:hAnsi="Times New Roman" w:cs="Times New Roman"/>
          <w:i/>
          <w:iCs/>
          <w:sz w:val="24"/>
          <w:szCs w:val="24"/>
          <w:lang w:val="bg"/>
        </w:rPr>
      </w:pPr>
      <w:r w:rsidRPr="00502BB0">
        <w:rPr>
          <w:rFonts w:ascii="Times New Roman" w:hAnsi="Times New Roman" w:cs="Times New Roman"/>
          <w:sz w:val="24"/>
          <w:szCs w:val="24"/>
          <w:lang w:val="bg"/>
        </w:rPr>
        <w:t>Цифровизацията и иновациите са от съществено значение, за да могат операторите на разпределителни системи да подобрят ефективността и да изпълняват ефективно своите задачи.</w:t>
      </w:r>
    </w:p>
    <w:p w:rsidR="007906A8" w:rsidRDefault="007906A8" w:rsidP="00B01311">
      <w:pPr>
        <w:pStyle w:val="Heading3"/>
        <w:numPr>
          <w:ilvl w:val="2"/>
          <w:numId w:val="65"/>
        </w:numPr>
        <w:spacing w:line="276" w:lineRule="auto"/>
        <w:jc w:val="both"/>
        <w:rPr>
          <w:rFonts w:ascii="Times New Roman" w:hAnsi="Times New Roman" w:cs="Times New Roman"/>
          <w:color w:val="049494"/>
          <w:sz w:val="28"/>
          <w:szCs w:val="28"/>
          <w:lang w:val="bg"/>
        </w:rPr>
      </w:pPr>
      <w:bookmarkStart w:id="92" w:name="bookmark248"/>
      <w:bookmarkStart w:id="93" w:name="bookmark247"/>
      <w:bookmarkStart w:id="94" w:name="_Toc203141272"/>
      <w:r w:rsidRPr="00502BB0">
        <w:rPr>
          <w:rFonts w:ascii="Times New Roman" w:hAnsi="Times New Roman" w:cs="Times New Roman"/>
          <w:color w:val="049494"/>
          <w:sz w:val="28"/>
          <w:szCs w:val="28"/>
          <w:lang w:val="bg"/>
        </w:rPr>
        <w:t>Регулаторна рамка за операторите на разпределителни системи</w:t>
      </w:r>
      <w:bookmarkEnd w:id="92"/>
      <w:bookmarkEnd w:id="93"/>
      <w:bookmarkEnd w:id="94"/>
    </w:p>
    <w:p w:rsidR="00082BFC" w:rsidRPr="00082BFC" w:rsidRDefault="00082BFC" w:rsidP="00082BFC">
      <w:pPr>
        <w:pStyle w:val="ListParagraph"/>
        <w:ind w:left="1080"/>
        <w:rPr>
          <w:lang w:val="bg"/>
        </w:rPr>
      </w:pP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 xml:space="preserve">Регулаторната рамка за операторите на разпределителни системи в Норвегия има за цел да гарантира ефективната, надеждна и устойчива експлоатация на електроразпределителната </w:t>
      </w:r>
      <w:r w:rsidRPr="00502BB0">
        <w:rPr>
          <w:rFonts w:ascii="Times New Roman" w:hAnsi="Times New Roman" w:cs="Times New Roman"/>
          <w:sz w:val="24"/>
          <w:szCs w:val="24"/>
          <w:lang w:val="bg"/>
        </w:rPr>
        <w:lastRenderedPageBreak/>
        <w:t>мрежа. Тази рамка се урежда от няколко ключови регламента и се контролира от NVE, по-специално чрез неговото регулаторно подразделение — NVE-RME. Първичното законодателство, уреждащо операторите на разпределителни системи в Норвегия,</w:t>
      </w:r>
      <w:hyperlink w:anchor="bookmark30" w:tooltip="Current Document">
        <w:r w:rsidRPr="00BA7482">
          <w:rPr>
            <w:rStyle w:val="Hyperlink"/>
            <w:rFonts w:ascii="Times New Roman" w:hAnsi="Times New Roman" w:cs="Times New Roman"/>
            <w:sz w:val="24"/>
            <w:szCs w:val="24"/>
            <w:vertAlign w:val="superscript"/>
            <w:lang w:val="bg"/>
          </w:rPr>
          <w:footnoteReference w:id="24"/>
        </w:r>
      </w:hyperlink>
      <w:r w:rsidRPr="00502BB0">
        <w:rPr>
          <w:rFonts w:ascii="Times New Roman" w:hAnsi="Times New Roman" w:cs="Times New Roman"/>
          <w:sz w:val="24"/>
          <w:szCs w:val="24"/>
          <w:lang w:val="bg"/>
        </w:rPr>
        <w:t xml:space="preserve"> е Законът за енергетиката (Energiloven), в който се очертават ролите и отговорностите на операторите на разпределителни системи, включително задължението да предоставят недискриминационен достъп до мрежата и да гарантират надеждни доставки на електроенергия. Този акт служи като основа за регулаторната рамка, като определя стандартите за експлоатация и поддръжка на мрежата.</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b/>
          <w:bCs/>
          <w:sz w:val="24"/>
          <w:szCs w:val="24"/>
          <w:lang w:val="bg"/>
        </w:rPr>
        <w:t xml:space="preserve">Икономическото регулиране </w:t>
      </w:r>
      <w:r w:rsidRPr="00502BB0">
        <w:rPr>
          <w:rFonts w:ascii="Times New Roman" w:hAnsi="Times New Roman" w:cs="Times New Roman"/>
          <w:sz w:val="24"/>
          <w:szCs w:val="24"/>
          <w:lang w:val="bg"/>
        </w:rPr>
        <w:t>е ключов аспект на рамката, управлявана от NVE-RME. Това включва определяне на тавани на приходите за операторите на разпределителни системи, за да се гарантира, че те работят ефективно, като същевременно поддържат и развиват мрежовата инфраструктура.</w:t>
      </w:r>
      <w:hyperlink w:anchor="bookmark31" w:tooltip="Current Document">
        <w:r w:rsidRPr="00BA7482">
          <w:rPr>
            <w:rStyle w:val="Hyperlink"/>
            <w:rFonts w:ascii="Times New Roman" w:hAnsi="Times New Roman" w:cs="Times New Roman"/>
            <w:sz w:val="24"/>
            <w:szCs w:val="24"/>
            <w:vertAlign w:val="superscript"/>
            <w:lang w:val="bg"/>
          </w:rPr>
          <w:footnoteReference w:id="25"/>
        </w:r>
      </w:hyperlink>
      <w:r w:rsidRPr="00502BB0">
        <w:rPr>
          <w:rFonts w:ascii="Times New Roman" w:hAnsi="Times New Roman" w:cs="Times New Roman"/>
          <w:sz w:val="24"/>
          <w:szCs w:val="24"/>
          <w:lang w:val="bg"/>
        </w:rPr>
        <w:t xml:space="preserve"> Моделът на таван на приходите се основава на комбинация от разходна база и разходна норма, като предоставя на операторите на разпределителни системи предвидима и прозрачна финансова среда. Разрешените приходи покриват оперативните разходи, амортизацията и разумната възвръщаемост на инвестициите, като стимулират операторите на разпределителни системи да предоставят стабилни и сигурни услуги по социално ефективен начин.</w:t>
      </w:r>
      <w:r w:rsidRPr="00502BB0">
        <w:rPr>
          <w:rFonts w:ascii="Times New Roman" w:hAnsi="Times New Roman" w:cs="Times New Roman"/>
          <w:b/>
          <w:bCs/>
          <w:sz w:val="24"/>
          <w:szCs w:val="24"/>
          <w:lang w:val="bg"/>
        </w:rPr>
        <w:t xml:space="preserve"> Правилата за качество на доставките, </w:t>
      </w:r>
      <w:r w:rsidRPr="00502BB0">
        <w:rPr>
          <w:rFonts w:ascii="Times New Roman" w:hAnsi="Times New Roman" w:cs="Times New Roman"/>
          <w:sz w:val="24"/>
          <w:szCs w:val="24"/>
          <w:lang w:val="bg"/>
        </w:rPr>
        <w:t>издадени от NVE, определят стандартите за качество, честота и надеждност на напрежението, към които операторите на разпределителни системи трябва да се придържат</w:t>
      </w:r>
      <w:r w:rsidRPr="00BA7482">
        <w:rPr>
          <w:rFonts w:ascii="Times New Roman" w:hAnsi="Times New Roman" w:cs="Times New Roman"/>
          <w:sz w:val="24"/>
          <w:szCs w:val="24"/>
          <w:vertAlign w:val="superscript"/>
          <w:lang w:val="bg"/>
        </w:rPr>
        <w:t>.</w:t>
      </w:r>
      <w:hyperlink w:anchor="bookmark32" w:tooltip="Current Document">
        <w:r w:rsidRPr="00BA7482">
          <w:rPr>
            <w:rStyle w:val="Hyperlink"/>
            <w:rFonts w:ascii="Times New Roman" w:hAnsi="Times New Roman" w:cs="Times New Roman"/>
            <w:sz w:val="24"/>
            <w:szCs w:val="24"/>
            <w:vertAlign w:val="superscript"/>
            <w:lang w:val="bg"/>
          </w:rPr>
          <w:footnoteReference w:id="26"/>
        </w:r>
      </w:hyperlink>
      <w:r w:rsidRPr="00502BB0">
        <w:rPr>
          <w:rFonts w:ascii="Times New Roman" w:hAnsi="Times New Roman" w:cs="Times New Roman"/>
          <w:sz w:val="24"/>
          <w:szCs w:val="24"/>
          <w:lang w:val="bg"/>
        </w:rPr>
        <w:t xml:space="preserve"> Тези регламенти гарантират, че електроснабдяването отговаря на определени критерии за качество, като защитават потребителите от лошо обслужване и гарантират стабилността на мрежата.</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Кодовете за присъединяване към мрежата</w:t>
      </w:r>
      <w:hyperlink w:anchor="bookmark33" w:tooltip="Current Document">
        <w:r w:rsidRPr="00BA7482">
          <w:rPr>
            <w:rStyle w:val="Hyperlink"/>
            <w:rFonts w:ascii="Times New Roman" w:hAnsi="Times New Roman" w:cs="Times New Roman"/>
            <w:sz w:val="24"/>
            <w:szCs w:val="24"/>
            <w:vertAlign w:val="superscript"/>
            <w:lang w:val="bg"/>
          </w:rPr>
          <w:footnoteReference w:id="27"/>
        </w:r>
      </w:hyperlink>
      <w:r w:rsidRPr="00502BB0">
        <w:rPr>
          <w:rFonts w:ascii="Times New Roman" w:hAnsi="Times New Roman" w:cs="Times New Roman"/>
          <w:sz w:val="24"/>
          <w:szCs w:val="24"/>
          <w:lang w:val="bg"/>
        </w:rPr>
        <w:t xml:space="preserve"> определят техническите изисквания за присъединяване към мрежата, включително границите на напрежението, стандартите за безопасност и други критерии, на които трябва да отговарят операторите на разпределителни системи и ползвателите на мрежата. Тези кодекси са от съществено значение за поддържането на целостта и безопасността на електрическата мрежа. Регламентите относно отговорността за системата очертават отговорностите на операторите на разпределителни системи за поддържане на стабилността и сигурността на системата. Това включва изисквания за планиране на мрежата, аварийна готовност и координация със Statnett на оператора на преносна система. Тези регламенти гарантират, че операторите на разпределителни системи са подготвени да се справят с извънредни ситуации и да поддържат непрекъснатата експлоатация на мрежата.</w:t>
      </w:r>
    </w:p>
    <w:p w:rsidR="007906A8" w:rsidRDefault="007906A8" w:rsidP="00B01311">
      <w:pPr>
        <w:pStyle w:val="Heading3"/>
        <w:numPr>
          <w:ilvl w:val="2"/>
          <w:numId w:val="65"/>
        </w:numPr>
        <w:spacing w:line="276" w:lineRule="auto"/>
        <w:jc w:val="both"/>
        <w:rPr>
          <w:rFonts w:ascii="Times New Roman" w:hAnsi="Times New Roman" w:cs="Times New Roman"/>
          <w:color w:val="049494"/>
          <w:sz w:val="28"/>
          <w:szCs w:val="28"/>
          <w:lang w:val="bg"/>
        </w:rPr>
      </w:pPr>
      <w:bookmarkStart w:id="99" w:name="bookmark251"/>
      <w:bookmarkStart w:id="100" w:name="bookmark250"/>
      <w:bookmarkStart w:id="101" w:name="_Toc203141273"/>
      <w:r w:rsidRPr="00502BB0">
        <w:rPr>
          <w:rFonts w:ascii="Times New Roman" w:hAnsi="Times New Roman" w:cs="Times New Roman"/>
          <w:color w:val="049494"/>
          <w:sz w:val="28"/>
          <w:szCs w:val="28"/>
          <w:lang w:val="bg"/>
        </w:rPr>
        <w:t>Таван на приходите</w:t>
      </w:r>
      <w:bookmarkEnd w:id="99"/>
      <w:bookmarkEnd w:id="100"/>
      <w:bookmarkEnd w:id="101"/>
    </w:p>
    <w:p w:rsidR="00082BFC" w:rsidRPr="00082BFC" w:rsidRDefault="00082BFC" w:rsidP="00082BFC">
      <w:pPr>
        <w:pStyle w:val="ListParagraph"/>
        <w:ind w:left="1080"/>
        <w:rPr>
          <w:lang w:val="bg"/>
        </w:rPr>
      </w:pPr>
    </w:p>
    <w:p w:rsidR="007906A8" w:rsidRPr="00BA7482" w:rsidRDefault="007906A8" w:rsidP="00502BB0">
      <w:pPr>
        <w:spacing w:line="276" w:lineRule="auto"/>
        <w:jc w:val="both"/>
        <w:rPr>
          <w:rFonts w:ascii="Times New Roman" w:hAnsi="Times New Roman" w:cs="Times New Roman"/>
          <w:sz w:val="24"/>
          <w:szCs w:val="24"/>
          <w:vertAlign w:val="superscript"/>
          <w:lang w:val="bg"/>
        </w:rPr>
      </w:pPr>
      <w:r w:rsidRPr="00502BB0">
        <w:rPr>
          <w:rFonts w:ascii="Times New Roman" w:hAnsi="Times New Roman" w:cs="Times New Roman"/>
          <w:sz w:val="24"/>
          <w:szCs w:val="24"/>
          <w:lang w:val="bg"/>
        </w:rPr>
        <w:t>Таванът на приходите за операторите на разпределителни системи в Норвегия е критичен компонент от рамката за икономическо регулиране под надзора на NVE-RME. Този модел има за цел да гарантира, че операторите на разпределителни системи работят ефективно, като същевременно поддържат и развиват мрежовата инфраструктура по социално ефективен начин.</w:t>
      </w:r>
      <w:hyperlink w:anchor="bookmark34" w:tooltip="Current Document">
        <w:r w:rsidRPr="00BA7482">
          <w:rPr>
            <w:rStyle w:val="Hyperlink"/>
            <w:rFonts w:ascii="Times New Roman" w:hAnsi="Times New Roman" w:cs="Times New Roman"/>
            <w:sz w:val="24"/>
            <w:szCs w:val="24"/>
            <w:vertAlign w:val="superscript"/>
            <w:lang w:val="bg"/>
          </w:rPr>
          <w:footnoteReference w:id="28"/>
        </w:r>
      </w:hyperlink>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lastRenderedPageBreak/>
        <w:t xml:space="preserve">Таванът на приходите се определя ежегодно и се състои от </w:t>
      </w:r>
      <w:r w:rsidRPr="00502BB0">
        <w:rPr>
          <w:rFonts w:ascii="Times New Roman" w:hAnsi="Times New Roman" w:cs="Times New Roman"/>
          <w:b/>
          <w:bCs/>
          <w:sz w:val="24"/>
          <w:szCs w:val="24"/>
          <w:lang w:val="bg"/>
        </w:rPr>
        <w:t>два основни компонента: разходната база и разходната норма</w:t>
      </w:r>
      <w:r w:rsidRPr="00502BB0">
        <w:rPr>
          <w:rFonts w:ascii="Times New Roman" w:hAnsi="Times New Roman" w:cs="Times New Roman"/>
          <w:sz w:val="24"/>
          <w:szCs w:val="24"/>
          <w:lang w:val="bg"/>
        </w:rPr>
        <w:t>. Разходната база представлява 40 % от тавана на приходите и се получава от собствените разходи на операторите на разпределителни системи, включително оперативните разходи, амортизацията и разумната възвръщаемост на инвестициите. Този компонент гарантира, че операторите на разпределителни системи могат да възстановят действителните си разходи за предоставяне на услуги по разпределение на електроенергия.</w:t>
      </w:r>
      <w:hyperlink w:anchor="bookmark35" w:tooltip="Current Document">
        <w:r w:rsidRPr="00BA7482">
          <w:rPr>
            <w:rStyle w:val="Hyperlink"/>
            <w:rFonts w:ascii="Times New Roman" w:hAnsi="Times New Roman" w:cs="Times New Roman"/>
            <w:sz w:val="24"/>
            <w:szCs w:val="24"/>
            <w:vertAlign w:val="superscript"/>
            <w:lang w:val="bg"/>
          </w:rPr>
          <w:footnoteReference w:id="29"/>
        </w:r>
      </w:hyperlink>
      <w:r w:rsidRPr="00BA7482">
        <w:rPr>
          <w:rFonts w:ascii="Times New Roman" w:hAnsi="Times New Roman" w:cs="Times New Roman"/>
          <w:sz w:val="24"/>
          <w:szCs w:val="24"/>
          <w:vertAlign w:val="superscript"/>
          <w:lang w:val="bg"/>
        </w:rPr>
        <w:t xml:space="preserve"> </w:t>
      </w:r>
      <w:r w:rsidRPr="00502BB0">
        <w:rPr>
          <w:rFonts w:ascii="Times New Roman" w:hAnsi="Times New Roman" w:cs="Times New Roman"/>
          <w:sz w:val="24"/>
          <w:szCs w:val="24"/>
          <w:lang w:val="bg"/>
        </w:rPr>
        <w:t>Нормата на разходите, която съставлява останалите 60 % от тавана на приходите, се основава на сравнителен анализ на сравними ОРС. Този процес на сравнителен анализ включва сравняване на ефективността и резултатите на различните ОРС с цел установяване на стандарт</w:t>
      </w:r>
      <w:r w:rsidR="001351E6">
        <w:rPr>
          <w:rFonts w:ascii="Times New Roman" w:hAnsi="Times New Roman" w:cs="Times New Roman"/>
          <w:sz w:val="24"/>
          <w:szCs w:val="24"/>
          <w:lang w:val="bg"/>
        </w:rPr>
        <w:t xml:space="preserve"> на </w:t>
      </w:r>
      <w:r w:rsidRPr="00502BB0">
        <w:rPr>
          <w:rFonts w:ascii="Times New Roman" w:hAnsi="Times New Roman" w:cs="Times New Roman"/>
          <w:sz w:val="24"/>
          <w:szCs w:val="24"/>
          <w:lang w:val="bg"/>
        </w:rPr>
        <w:t>норма на разходите, която е отделена от собствените разходи на отделните ОРС. Нормата за разходите стимулира операторите на разпределителни системи да подобрят своята ефективност и да намалят оперативните разходи, тъй като техните допустими приходи се определят частично от тяхната ефективност спрямо други оператори на разпределителни системи.</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Разрешените приходи за всеки ОРС включват сумата от тавана на приходите, разходите за прехвърляне, свързани с данъка върху недвижимото имущество, тарифите, плащани на други регулирани мрежи, и одобрените разходи за научноизследователска и развойна дейност (R&amp;D). Освен това моделът включва корекции на разходите за възстановяване на капитала, за да се гарантира, че операторите на разпределителни системи могат да възстановят действителните разходи за капитал, включително амортизацията и възвръщаемостта на активите, без забавяне във времето.</w:t>
      </w:r>
    </w:p>
    <w:p w:rsidR="007906A8"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За да се стимулира допълнително ефективното функциониране, моделът на тавана на приходите включва договореността за разходите за недоставена енергия (CENS). CENS измерва изчислената стойност на загубите от прекъсване на електроснабдяването за клиентите и осигурява стимул за операторите на разпределителни системи да поддържат правилно своите активи и да инвестират в необходимата инфраструктура, за да се избегнат прекъсвания на електрозахранването. Всички разходи, свързани с недоставена енергия, се приспадат от разрешените приходи, като се насърчават операторите на разпределителни системи да сведат до минимум прекъсванията и да поддържат надеждно електроснабдяване.</w:t>
      </w:r>
    </w:p>
    <w:p w:rsidR="00082BFC" w:rsidRPr="00502BB0" w:rsidRDefault="007906A8" w:rsidP="00502BB0">
      <w:pPr>
        <w:spacing w:line="276" w:lineRule="auto"/>
        <w:jc w:val="both"/>
        <w:rPr>
          <w:rFonts w:ascii="Times New Roman" w:hAnsi="Times New Roman" w:cs="Times New Roman"/>
          <w:sz w:val="24"/>
          <w:szCs w:val="24"/>
          <w:lang w:val="bg"/>
        </w:rPr>
      </w:pPr>
      <w:r w:rsidRPr="00502BB0">
        <w:rPr>
          <w:rFonts w:ascii="Times New Roman" w:hAnsi="Times New Roman" w:cs="Times New Roman"/>
          <w:sz w:val="24"/>
          <w:szCs w:val="24"/>
          <w:lang w:val="bg"/>
        </w:rPr>
        <w:t>Приходите от превишение или дефицит за дадена година се изчисляват като разликата между действително събраните приходи и разрешените приходи. Това гарантира, че операторите на разпределителни системи не надценяват или надценяват клиентите, като поддържат баланс между генерирането на приходи и възстановяването на разходите. Регулаторната рамка включва и механизми за управление на приходите от претоварване, които се използват за финансиране на инвестиции, насочени към премахване на претоварването в мрежата.</w:t>
      </w:r>
    </w:p>
    <w:p w:rsidR="007906A8" w:rsidRPr="00502BB0" w:rsidRDefault="001D47F2" w:rsidP="001D47F2">
      <w:pPr>
        <w:pStyle w:val="Heading3"/>
        <w:spacing w:before="0" w:line="240" w:lineRule="auto"/>
        <w:jc w:val="both"/>
        <w:rPr>
          <w:rFonts w:ascii="Times New Roman" w:hAnsi="Times New Roman" w:cs="Times New Roman"/>
          <w:color w:val="049494"/>
          <w:sz w:val="28"/>
          <w:szCs w:val="28"/>
          <w:lang w:val="bg"/>
        </w:rPr>
      </w:pPr>
      <w:bookmarkStart w:id="104" w:name="bookmark254"/>
      <w:bookmarkStart w:id="105" w:name="bookmark253"/>
      <w:bookmarkStart w:id="106" w:name="_Toc203141274"/>
      <w:r>
        <w:rPr>
          <w:rFonts w:ascii="Times New Roman" w:hAnsi="Times New Roman" w:cs="Times New Roman"/>
          <w:color w:val="049494"/>
          <w:sz w:val="28"/>
          <w:szCs w:val="28"/>
          <w:lang w:val="bg"/>
        </w:rPr>
        <w:t>3.2</w:t>
      </w:r>
      <w:r w:rsidR="00502BB0" w:rsidRPr="00502BB0">
        <w:rPr>
          <w:rFonts w:ascii="Times New Roman" w:hAnsi="Times New Roman" w:cs="Times New Roman"/>
          <w:color w:val="049494"/>
          <w:sz w:val="28"/>
          <w:szCs w:val="28"/>
          <w:lang w:val="bg"/>
        </w:rPr>
        <w:t xml:space="preserve">.5 </w:t>
      </w:r>
      <w:r w:rsidR="007906A8" w:rsidRPr="00502BB0">
        <w:rPr>
          <w:rFonts w:ascii="Times New Roman" w:hAnsi="Times New Roman" w:cs="Times New Roman"/>
          <w:color w:val="049494"/>
          <w:sz w:val="28"/>
          <w:szCs w:val="28"/>
          <w:lang w:val="bg"/>
        </w:rPr>
        <w:t>Тарифи за мрежата</w:t>
      </w:r>
      <w:bookmarkEnd w:id="104"/>
      <w:bookmarkEnd w:id="105"/>
      <w:bookmarkEnd w:id="106"/>
    </w:p>
    <w:p w:rsidR="001D47F2" w:rsidRDefault="001D47F2" w:rsidP="001D47F2">
      <w:pPr>
        <w:spacing w:line="240" w:lineRule="auto"/>
        <w:jc w:val="both"/>
        <w:rPr>
          <w:rFonts w:ascii="Times New Roman" w:hAnsi="Times New Roman" w:cs="Times New Roman"/>
          <w:color w:val="049494"/>
          <w:sz w:val="24"/>
          <w:szCs w:val="24"/>
          <w:lang w:val="bg"/>
        </w:rPr>
      </w:pPr>
      <w:bookmarkStart w:id="107" w:name="bookmark256"/>
    </w:p>
    <w:p w:rsidR="007906A8" w:rsidRPr="001D47F2" w:rsidRDefault="007906A8" w:rsidP="001D47F2">
      <w:pPr>
        <w:spacing w:line="240" w:lineRule="auto"/>
        <w:jc w:val="both"/>
        <w:rPr>
          <w:rFonts w:ascii="Times New Roman" w:hAnsi="Times New Roman" w:cs="Times New Roman"/>
          <w:color w:val="049494"/>
          <w:sz w:val="24"/>
          <w:szCs w:val="24"/>
          <w:lang w:val="bg"/>
        </w:rPr>
      </w:pPr>
      <w:r w:rsidRPr="001D47F2">
        <w:rPr>
          <w:rFonts w:ascii="Times New Roman" w:hAnsi="Times New Roman" w:cs="Times New Roman"/>
          <w:color w:val="049494"/>
          <w:sz w:val="24"/>
          <w:szCs w:val="24"/>
          <w:lang w:val="bg"/>
        </w:rPr>
        <w:t>Частни клиенти</w:t>
      </w:r>
      <w:bookmarkEnd w:id="107"/>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Мрежовите тарифи за частни клиенти в Норвегия са структурирани така, че да покриват разходите, свързани с експлоатацията и поддръжката на електроенергийната мрежа. Тези </w:t>
      </w:r>
      <w:r w:rsidRPr="001D47F2">
        <w:rPr>
          <w:rFonts w:ascii="Times New Roman" w:hAnsi="Times New Roman" w:cs="Times New Roman"/>
          <w:sz w:val="24"/>
          <w:szCs w:val="24"/>
          <w:lang w:val="bg"/>
        </w:rPr>
        <w:lastRenderedPageBreak/>
        <w:t>тарифи се състоят от няколко компонента, включително фиксирана такса, такса за енергия и публични данъци.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Фиксираната такса включва две части: фиксирана част, определена от размера на главния вход на захранването, и част за капацитета, определена от средната стойност на 3-те дни с върхово потребление всеки месец. Например, ако средната стойност на трите най-високи дневни максимума е 4 kWh, клиентът попада в категория 2 (например в степен на капацитет от 2 до 4,99 KW), която има </w:t>
      </w:r>
      <w:r w:rsidRPr="001D47F2">
        <w:rPr>
          <w:rFonts w:ascii="Times New Roman" w:hAnsi="Times New Roman" w:cs="Times New Roman"/>
          <w:b/>
          <w:bCs/>
          <w:sz w:val="24"/>
          <w:szCs w:val="24"/>
          <w:lang w:val="bg"/>
        </w:rPr>
        <w:t xml:space="preserve">фиксирана такса </w:t>
      </w:r>
      <w:r w:rsidRPr="001D47F2">
        <w:rPr>
          <w:rFonts w:ascii="Times New Roman" w:hAnsi="Times New Roman" w:cs="Times New Roman"/>
          <w:sz w:val="24"/>
          <w:szCs w:val="24"/>
          <w:lang w:val="bg"/>
        </w:rPr>
        <w:t>от 215 NOK (приблизително 37 BGN) на месец.</w:t>
      </w:r>
      <w:hyperlink w:anchor="bookmark36" w:tooltip="Current Document">
        <w:r w:rsidRPr="00BA7482">
          <w:rPr>
            <w:rStyle w:val="Hyperlink"/>
            <w:rFonts w:ascii="Times New Roman" w:hAnsi="Times New Roman" w:cs="Times New Roman"/>
            <w:sz w:val="24"/>
            <w:szCs w:val="24"/>
            <w:vertAlign w:val="superscript"/>
            <w:lang w:val="bg"/>
          </w:rPr>
          <w:footnoteReference w:id="30"/>
        </w:r>
      </w:hyperlink>
      <w:r w:rsidRPr="00BA7482">
        <w:rPr>
          <w:rFonts w:ascii="Times New Roman" w:hAnsi="Times New Roman" w:cs="Times New Roman"/>
          <w:sz w:val="24"/>
          <w:szCs w:val="24"/>
          <w:vertAlign w:val="superscript"/>
          <w:lang w:val="bg"/>
        </w:rPr>
        <w:t xml:space="preserve"> </w:t>
      </w:r>
      <w:r w:rsidRPr="00BA7482">
        <w:rPr>
          <w:rFonts w:ascii="Times New Roman" w:hAnsi="Times New Roman" w:cs="Times New Roman"/>
          <w:color w:val="4472C4" w:themeColor="accent5"/>
          <w:sz w:val="24"/>
          <w:szCs w:val="24"/>
          <w:vertAlign w:val="superscript"/>
          <w:lang w:val="bg"/>
        </w:rPr>
        <w:footnoteReference w:id="31"/>
      </w:r>
      <w:r w:rsidRPr="00BA7482">
        <w:rPr>
          <w:rFonts w:ascii="Times New Roman" w:hAnsi="Times New Roman" w:cs="Times New Roman"/>
          <w:color w:val="4472C4" w:themeColor="accent5"/>
          <w:sz w:val="24"/>
          <w:szCs w:val="24"/>
          <w:vertAlign w:val="superscript"/>
          <w:lang w:val="bg"/>
        </w:rPr>
        <w:t xml:space="preserve"> </w:t>
      </w:r>
      <w:r w:rsidRPr="001D47F2">
        <w:rPr>
          <w:rFonts w:ascii="Times New Roman" w:hAnsi="Times New Roman" w:cs="Times New Roman"/>
          <w:sz w:val="24"/>
          <w:szCs w:val="24"/>
          <w:lang w:val="bg"/>
        </w:rPr>
        <w:t xml:space="preserve">Или ако клиентът има по-висока средна стойност от 8,11 kW </w:t>
      </w:r>
      <w:hyperlink w:anchor="bookmark258" w:tooltip="Current Document">
        <w:r w:rsidRPr="001D47F2">
          <w:rPr>
            <w:rStyle w:val="Hyperlink"/>
            <w:rFonts w:ascii="Times New Roman" w:hAnsi="Times New Roman" w:cs="Times New Roman"/>
            <w:sz w:val="24"/>
            <w:szCs w:val="24"/>
            <w:lang w:val="bg"/>
          </w:rPr>
          <w:t>(фигура 1),</w:t>
        </w:r>
      </w:hyperlink>
      <w:r w:rsidRPr="001D47F2">
        <w:rPr>
          <w:rFonts w:ascii="Times New Roman" w:hAnsi="Times New Roman" w:cs="Times New Roman"/>
          <w:sz w:val="24"/>
          <w:szCs w:val="24"/>
          <w:lang w:val="bg"/>
        </w:rPr>
        <w:t xml:space="preserve"> тогава той ще попадне в категория 3 (5—9,99 kW) и ще получи по-висока фиксирана такса за капацитет.</w:t>
      </w:r>
    </w:p>
    <w:p w:rsidR="007906A8" w:rsidRPr="007906A8" w:rsidRDefault="007906A8" w:rsidP="007906A8">
      <w:pPr>
        <w:rPr>
          <w:lang w:val="bg"/>
        </w:rPr>
      </w:pPr>
      <w:r w:rsidRPr="007906A8">
        <w:rPr>
          <w:noProof/>
          <w:lang w:val="bg-BG" w:eastAsia="bg-BG"/>
        </w:rPr>
        <w:drawing>
          <wp:inline distT="0" distB="0" distL="0" distR="0" wp14:anchorId="05089464" wp14:editId="35317E25">
            <wp:extent cx="5657215" cy="2536190"/>
            <wp:effectExtent l="0" t="0" r="0" b="0"/>
            <wp:docPr id="53" name="Пикутър 53"/>
            <wp:cNvGraphicFramePr/>
            <a:graphic xmlns:a="http://schemas.openxmlformats.org/drawingml/2006/main">
              <a:graphicData uri="http://schemas.openxmlformats.org/drawingml/2006/picture">
                <pic:pic xmlns:pic="http://schemas.openxmlformats.org/drawingml/2006/picture">
                  <pic:nvPicPr>
                    <pic:cNvPr id="53" name="Снимка 53"/>
                    <pic:cNvPicPr/>
                  </pic:nvPicPr>
                  <pic:blipFill>
                    <a:blip r:embed="rId27"/>
                    <a:stretch/>
                  </pic:blipFill>
                  <pic:spPr>
                    <a:xfrm>
                      <a:off x="0" y="0"/>
                      <a:ext cx="5657215" cy="2536190"/>
                    </a:xfrm>
                    <a:prstGeom prst="rect">
                      <a:avLst/>
                    </a:prstGeom>
                  </pic:spPr>
                </pic:pic>
              </a:graphicData>
            </a:graphic>
          </wp:inline>
        </w:drawing>
      </w:r>
    </w:p>
    <w:p w:rsidR="007906A8" w:rsidRPr="001D47F2" w:rsidRDefault="007906A8" w:rsidP="001D47F2">
      <w:pPr>
        <w:spacing w:line="276" w:lineRule="auto"/>
        <w:jc w:val="both"/>
        <w:rPr>
          <w:rFonts w:ascii="Times New Roman" w:hAnsi="Times New Roman" w:cs="Times New Roman"/>
          <w:i/>
          <w:iCs/>
          <w:sz w:val="24"/>
          <w:szCs w:val="24"/>
          <w:lang w:val="bg"/>
        </w:rPr>
      </w:pPr>
      <w:bookmarkStart w:id="109" w:name="bookmark258"/>
      <w:r w:rsidRPr="001D47F2">
        <w:rPr>
          <w:rFonts w:ascii="Times New Roman" w:hAnsi="Times New Roman" w:cs="Times New Roman"/>
          <w:sz w:val="24"/>
          <w:szCs w:val="24"/>
          <w:lang w:val="bg"/>
        </w:rPr>
        <w:t>Фигура 1 — Пример за фиксирана част от мрежовата тарифа, основана на капацитета, изчислена като средната стойност на трите най-високи пика на потреблението през месеца. (Източник: Norgesnett</w:t>
      </w:r>
      <w:hyperlink w:anchor="bookmark37" w:tooltip="Current Document">
        <w:r w:rsidRPr="001D47F2">
          <w:rPr>
            <w:rStyle w:val="Hyperlink"/>
            <w:rFonts w:ascii="Times New Roman" w:hAnsi="Times New Roman" w:cs="Times New Roman"/>
            <w:sz w:val="24"/>
            <w:szCs w:val="24"/>
            <w:vertAlign w:val="superscript"/>
            <w:lang w:val="bg"/>
          </w:rPr>
          <w:t>38</w:t>
        </w:r>
      </w:hyperlink>
      <w:r w:rsidRPr="001D47F2">
        <w:rPr>
          <w:rFonts w:ascii="Times New Roman" w:hAnsi="Times New Roman" w:cs="Times New Roman"/>
          <w:sz w:val="24"/>
          <w:szCs w:val="24"/>
          <w:lang w:val="bg"/>
        </w:rPr>
        <w:t>)</w:t>
      </w:r>
      <w:bookmarkEnd w:id="109"/>
    </w:p>
    <w:p w:rsidR="007906A8" w:rsidRPr="007906A8" w:rsidRDefault="007906A8" w:rsidP="007906A8">
      <w:pPr>
        <w:rPr>
          <w:lang w:val="bg"/>
        </w:rPr>
      </w:pP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Тези специфични разходи са примери за мрежови такси от два норвежки ОРС. Фиксираната такса покрива разходите, свързани с експлоатацията на електрическата мрежа, измерването, уреждането и фактурирането. Променливият </w:t>
      </w:r>
      <w:r w:rsidRPr="001D47F2">
        <w:rPr>
          <w:rFonts w:ascii="Times New Roman" w:hAnsi="Times New Roman" w:cs="Times New Roman"/>
          <w:b/>
          <w:bCs/>
          <w:sz w:val="24"/>
          <w:szCs w:val="24"/>
          <w:lang w:val="bg"/>
        </w:rPr>
        <w:t>компонент</w:t>
      </w:r>
      <w:r w:rsidRPr="001D47F2">
        <w:rPr>
          <w:rFonts w:ascii="Times New Roman" w:hAnsi="Times New Roman" w:cs="Times New Roman"/>
          <w:sz w:val="24"/>
          <w:szCs w:val="24"/>
          <w:lang w:val="bg"/>
        </w:rPr>
        <w:t>, известен като енергиен заряд, е свързан с количеството консумирана електроенергия. Клиентите плащат малка сума за всеки киловатчас (kWh), който използват. Тази такса варира в зависимост от времето на деня и сезона, с по-високи ставки по време на периодите на върхово потребление и по-ниски ставки по време на не</w:t>
      </w:r>
      <w:r w:rsidR="00A14D29">
        <w:rPr>
          <w:rFonts w:ascii="Times New Roman" w:hAnsi="Times New Roman" w:cs="Times New Roman"/>
          <w:sz w:val="24"/>
          <w:szCs w:val="24"/>
          <w:lang w:val="bg"/>
        </w:rPr>
        <w:t xml:space="preserve"> </w:t>
      </w:r>
      <w:r w:rsidRPr="001D47F2">
        <w:rPr>
          <w:rFonts w:ascii="Times New Roman" w:hAnsi="Times New Roman" w:cs="Times New Roman"/>
          <w:sz w:val="24"/>
          <w:szCs w:val="24"/>
          <w:lang w:val="bg"/>
        </w:rPr>
        <w:t>натоварените часове.</w:t>
      </w:r>
      <w:hyperlink w:anchor="bookmark38" w:tooltip="Current Document">
        <w:r w:rsidRPr="00BA7482">
          <w:rPr>
            <w:rStyle w:val="Hyperlink"/>
            <w:rFonts w:ascii="Times New Roman" w:hAnsi="Times New Roman" w:cs="Times New Roman"/>
            <w:sz w:val="24"/>
            <w:szCs w:val="24"/>
            <w:vertAlign w:val="superscript"/>
            <w:lang w:val="bg"/>
          </w:rPr>
          <w:footnoteReference w:id="32"/>
        </w:r>
      </w:hyperlink>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Публичните данъци включват вноски в енергийния фонд Enova, данък върху електроенергията и данък добавена стойност (ДДС). Тези данъци могат да съставляват значителна част от наема на мрежата, особено за по-високи нива на потребление. Всеки ОРС може да определи свое собствено равнище на тарифите, ако остане в рамките на тавана на приходите, установен от NVE-RME. Това позволява на операторите на разпределителни системи да коригират тарифите въз основа на своите специфични оперативни разходи и </w:t>
      </w:r>
      <w:r w:rsidRPr="001D47F2">
        <w:rPr>
          <w:rFonts w:ascii="Times New Roman" w:hAnsi="Times New Roman" w:cs="Times New Roman"/>
          <w:sz w:val="24"/>
          <w:szCs w:val="24"/>
          <w:lang w:val="bg"/>
        </w:rPr>
        <w:lastRenderedPageBreak/>
        <w:t>инвестиционни нужди, като същевременно гарантират, че общите такси остават справедливи и разумни за потребителите.</w:t>
      </w:r>
    </w:p>
    <w:p w:rsidR="007906A8" w:rsidRPr="001D47F2" w:rsidRDefault="007906A8" w:rsidP="001D47F2">
      <w:pPr>
        <w:spacing w:line="276" w:lineRule="auto"/>
        <w:jc w:val="both"/>
        <w:rPr>
          <w:rFonts w:ascii="Times New Roman" w:hAnsi="Times New Roman" w:cs="Times New Roman"/>
          <w:color w:val="049494"/>
          <w:sz w:val="24"/>
          <w:szCs w:val="24"/>
          <w:lang w:val="bg"/>
        </w:rPr>
      </w:pPr>
      <w:bookmarkStart w:id="111" w:name="bookmark259"/>
      <w:r w:rsidRPr="001D47F2">
        <w:rPr>
          <w:rFonts w:ascii="Times New Roman" w:hAnsi="Times New Roman" w:cs="Times New Roman"/>
          <w:color w:val="049494"/>
          <w:sz w:val="24"/>
          <w:szCs w:val="24"/>
          <w:lang w:val="bg"/>
        </w:rPr>
        <w:t>Промишлени клиенти</w:t>
      </w:r>
      <w:bookmarkEnd w:id="111"/>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За промишлените клиенти мрежовите тарифи са структурирани по подобен начин, но с някои разлики, за да се отговори на по-високите и по-променливи нужди от електроенергия на промишлените операции. Тарифата се състои от фиксирана част и променлива част. Фиксираната част от тарифата обикновено се определя за една година и се прилага за периода от 1 януари до 31 декември. Този компонент включва разходи, свързани с инфраструктурата и поддръжката на преносната мрежа. Например фиксираната тарифа за голямо потребление беше определена на 135 NOK (приблизително 37 BGN) за kW през 2025 г.</w:t>
      </w:r>
      <w:hyperlink w:anchor="bookmark39" w:tooltip="Current Document">
        <w:r w:rsidRPr="00BA7482">
          <w:rPr>
            <w:rStyle w:val="Hyperlink"/>
            <w:rFonts w:ascii="Times New Roman" w:hAnsi="Times New Roman" w:cs="Times New Roman"/>
            <w:sz w:val="24"/>
            <w:szCs w:val="24"/>
            <w:vertAlign w:val="superscript"/>
            <w:lang w:val="bg"/>
          </w:rPr>
          <w:footnoteReference w:id="33"/>
        </w:r>
      </w:hyperlink>
      <w:r w:rsidRPr="001D47F2">
        <w:rPr>
          <w:rFonts w:ascii="Times New Roman" w:hAnsi="Times New Roman" w:cs="Times New Roman"/>
          <w:sz w:val="24"/>
          <w:szCs w:val="24"/>
          <w:lang w:val="bg"/>
        </w:rPr>
        <w:t xml:space="preserve"> Променливата част на тарифата, известна като енергиен компонент, включва пределните проценти на загуба за всяка точка на обмен в преносната мрежа. Тези ставки се изчисляват и актуализират ежеседмично въз основа на цената за съответната пазарна зона. Енергийният компонент отразява разходите за пренос на електроенергия и управление на загубите в мрежата.</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Statnett, операторът на преносната мрежа, също събира приходи от претоварване, които възникват, когато електроенергията се прехвърля между райони с различни цени на електроенергията. Приходите от претоварване, които възникват в резултат на обмена на електроенергия с други държави, т.е. по междусистемните връзки, се поделят 50/50 между Statnett и партньори в съседната държава. Приходите, които възникват в резултат на обмена на електроенергия между ценовите зони в Норвегия, се начисляват изцяло на Statnett. И тъй като разрешените приходи на Statnett се регулират, тези приходи от претоварване ще бъдат прехвърлени на нашите клиенти чрез намаляване на тарифите</w:t>
      </w:r>
      <w:r w:rsidRPr="00BA7482">
        <w:rPr>
          <w:rFonts w:ascii="Times New Roman" w:hAnsi="Times New Roman" w:cs="Times New Roman"/>
          <w:sz w:val="24"/>
          <w:szCs w:val="24"/>
          <w:vertAlign w:val="superscript"/>
          <w:lang w:val="bg"/>
        </w:rPr>
        <w:t>.</w:t>
      </w:r>
      <w:hyperlink w:anchor="bookmark40" w:tooltip="Current Document">
        <w:r w:rsidRPr="00BA7482">
          <w:rPr>
            <w:rStyle w:val="Hyperlink"/>
            <w:rFonts w:ascii="Times New Roman" w:hAnsi="Times New Roman" w:cs="Times New Roman"/>
            <w:sz w:val="24"/>
            <w:szCs w:val="24"/>
            <w:vertAlign w:val="superscript"/>
            <w:lang w:val="bg"/>
          </w:rPr>
          <w:footnoteReference w:id="34"/>
        </w:r>
      </w:hyperlink>
    </w:p>
    <w:p w:rsidR="007906A8" w:rsidRDefault="007906A8" w:rsidP="00B01311">
      <w:pPr>
        <w:pStyle w:val="Heading3"/>
        <w:numPr>
          <w:ilvl w:val="2"/>
          <w:numId w:val="183"/>
        </w:numPr>
        <w:spacing w:line="276" w:lineRule="auto"/>
        <w:jc w:val="both"/>
        <w:rPr>
          <w:rFonts w:ascii="Times New Roman" w:hAnsi="Times New Roman" w:cs="Times New Roman"/>
          <w:color w:val="049494"/>
          <w:sz w:val="28"/>
          <w:szCs w:val="28"/>
          <w:lang w:val="bg"/>
        </w:rPr>
      </w:pPr>
      <w:bookmarkStart w:id="114" w:name="bookmark262"/>
      <w:bookmarkStart w:id="115" w:name="bookmark261"/>
      <w:bookmarkStart w:id="116" w:name="_Toc203141275"/>
      <w:r w:rsidRPr="001D47F2">
        <w:rPr>
          <w:rFonts w:ascii="Times New Roman" w:hAnsi="Times New Roman" w:cs="Times New Roman"/>
          <w:color w:val="049494"/>
          <w:sz w:val="28"/>
          <w:szCs w:val="28"/>
          <w:lang w:val="bg"/>
        </w:rPr>
        <w:t>Процес на свързване към мрежата в Норвегия за големи проекти за потребление или производство</w:t>
      </w:r>
      <w:bookmarkEnd w:id="114"/>
      <w:bookmarkEnd w:id="115"/>
      <w:bookmarkEnd w:id="116"/>
    </w:p>
    <w:p w:rsidR="00082BFC" w:rsidRPr="00082BFC" w:rsidRDefault="00082BFC" w:rsidP="00082BFC">
      <w:pPr>
        <w:pStyle w:val="ListParagraph"/>
        <w:ind w:left="1080"/>
        <w:rPr>
          <w:lang w:val="bg"/>
        </w:rPr>
      </w:pP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Процесът на получаване на присъединяване към мрежата в Норвегия за големи проекти за потребление или производство включва няколко стъпки, като се гарантира, че присъединяването е както технически осъществимо, така и социално-икономическо рационално. Този процес се контролира от Statnett и включва координация с операторите на разпределителни системи.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b/>
          <w:bCs/>
          <w:sz w:val="24"/>
          <w:szCs w:val="24"/>
          <w:lang w:val="bg"/>
        </w:rPr>
        <w:t>Първоначален контакт и подаване на заявление:</w:t>
      </w:r>
      <w:r w:rsidRPr="001D47F2">
        <w:rPr>
          <w:rFonts w:ascii="Times New Roman" w:hAnsi="Times New Roman" w:cs="Times New Roman"/>
          <w:sz w:val="24"/>
          <w:szCs w:val="24"/>
          <w:lang w:val="bg"/>
        </w:rPr>
        <w:t xml:space="preserve"> Първата стъпка в процеса на свързване към мрежата е да се свържете с местната мрежова компания, за да изразите интерес към свързване към мрежата. За проекти с мощност над 5 MW или годишно потребление над 20 GWh Statnett трябва да участва от самото начало</w:t>
      </w:r>
      <w:hyperlink w:anchor="bookmark41" w:tooltip="Current Document">
        <w:r w:rsidRPr="00BA7482">
          <w:rPr>
            <w:rStyle w:val="Hyperlink"/>
            <w:rFonts w:ascii="Times New Roman" w:hAnsi="Times New Roman" w:cs="Times New Roman"/>
            <w:sz w:val="24"/>
            <w:szCs w:val="24"/>
            <w:vertAlign w:val="superscript"/>
            <w:lang w:val="bg"/>
          </w:rPr>
          <w:footnoteReference w:id="35"/>
        </w:r>
      </w:hyperlink>
      <w:r w:rsidRPr="00BA7482">
        <w:rPr>
          <w:rFonts w:ascii="Times New Roman" w:hAnsi="Times New Roman" w:cs="Times New Roman"/>
          <w:sz w:val="24"/>
          <w:szCs w:val="24"/>
          <w:vertAlign w:val="superscript"/>
          <w:lang w:val="bg"/>
        </w:rPr>
        <w:t>.</w:t>
      </w:r>
      <w:r w:rsidRPr="001D47F2">
        <w:rPr>
          <w:rFonts w:ascii="Times New Roman" w:hAnsi="Times New Roman" w:cs="Times New Roman"/>
          <w:sz w:val="24"/>
          <w:szCs w:val="24"/>
          <w:lang w:val="bg"/>
        </w:rPr>
        <w:t xml:space="preserve"> Заявителят трябва да подаде официално заявление, което включва подробна информация за проекта, като например вида на връзката (производство или потребление), очакваното натоварване и техническите спецификации</w:t>
      </w:r>
      <w:r w:rsidRPr="00BA7482">
        <w:rPr>
          <w:rFonts w:ascii="Times New Roman" w:hAnsi="Times New Roman" w:cs="Times New Roman"/>
          <w:sz w:val="24"/>
          <w:szCs w:val="24"/>
          <w:vertAlign w:val="superscript"/>
          <w:lang w:val="bg"/>
        </w:rPr>
        <w:t>.</w:t>
      </w:r>
      <w:hyperlink w:anchor="bookmark42" w:tooltip="Current Document">
        <w:r w:rsidRPr="00BA7482">
          <w:rPr>
            <w:rStyle w:val="Hyperlink"/>
            <w:rFonts w:ascii="Times New Roman" w:hAnsi="Times New Roman" w:cs="Times New Roman"/>
            <w:sz w:val="24"/>
            <w:szCs w:val="24"/>
            <w:vertAlign w:val="superscript"/>
            <w:lang w:val="bg"/>
          </w:rPr>
          <w:footnoteReference w:id="36"/>
        </w:r>
      </w:hyperlink>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lastRenderedPageBreak/>
        <w:t xml:space="preserve">Оценка на </w:t>
      </w:r>
      <w:r w:rsidRPr="001D47F2">
        <w:rPr>
          <w:rFonts w:ascii="Times New Roman" w:hAnsi="Times New Roman" w:cs="Times New Roman"/>
          <w:b/>
          <w:bCs/>
          <w:sz w:val="24"/>
          <w:szCs w:val="24"/>
          <w:lang w:val="bg"/>
        </w:rPr>
        <w:t xml:space="preserve">капацитета: </w:t>
      </w:r>
      <w:r w:rsidRPr="001D47F2">
        <w:rPr>
          <w:rFonts w:ascii="Times New Roman" w:hAnsi="Times New Roman" w:cs="Times New Roman"/>
          <w:sz w:val="24"/>
          <w:szCs w:val="24"/>
          <w:lang w:val="bg"/>
        </w:rPr>
        <w:t>След като заявлението бъде подадено, собственикът на мрежата извършва техническа и икономическа оценка, за да определи наличния капацитет в мрежата. Това включва няколко ключови дейности, включително анализ на потока на натоварване, анализ N-1 (гарантиране, че мрежата може да работи нормално, дори ако един компонент се повреди), оценка на стабилността на напрежението и оценка на топлинния рейтинг. Собственикът на мрежата също така оценява икономическата осъществимост на връзката, като оценява разходите, свързани с модернизирането на инфраструктурата, разходите за укрепване и оперативните разходи.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Оферта за </w:t>
      </w:r>
      <w:r w:rsidRPr="001D47F2">
        <w:rPr>
          <w:rFonts w:ascii="Times New Roman" w:hAnsi="Times New Roman" w:cs="Times New Roman"/>
          <w:b/>
          <w:bCs/>
          <w:sz w:val="24"/>
          <w:szCs w:val="24"/>
          <w:lang w:val="bg"/>
        </w:rPr>
        <w:t xml:space="preserve">връзка и споразумение: </w:t>
      </w:r>
      <w:r w:rsidRPr="001D47F2">
        <w:rPr>
          <w:rFonts w:ascii="Times New Roman" w:hAnsi="Times New Roman" w:cs="Times New Roman"/>
          <w:sz w:val="24"/>
          <w:szCs w:val="24"/>
          <w:lang w:val="bg"/>
        </w:rPr>
        <w:t>Ако оценката на капацитета е положителна, заявителят получава предложение за присъединяване, в което се посочват редът, условията, разходите</w:t>
      </w:r>
      <w:r w:rsidR="00F015E5">
        <w:rPr>
          <w:rFonts w:ascii="Times New Roman" w:hAnsi="Times New Roman" w:cs="Times New Roman"/>
          <w:sz w:val="24"/>
          <w:szCs w:val="24"/>
          <w:lang w:val="bg"/>
        </w:rPr>
        <w:t xml:space="preserve"> и графикът за присъединяването</w:t>
      </w:r>
      <w:r w:rsidRPr="001D47F2">
        <w:rPr>
          <w:rFonts w:ascii="Times New Roman" w:hAnsi="Times New Roman" w:cs="Times New Roman"/>
          <w:sz w:val="24"/>
          <w:szCs w:val="24"/>
          <w:lang w:val="bg"/>
        </w:rPr>
        <w:t>. Тази оферта включва всички необходими подкрепления или подобрения на мрежата, необходими за приспособяване на новата връзка. Кандидатът трябва да прегледа и приеме офертата, след което се подписва споразумение за присъединяване.</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Укрепване и изграждане на </w:t>
      </w:r>
      <w:r w:rsidRPr="001D47F2">
        <w:rPr>
          <w:rFonts w:ascii="Times New Roman" w:hAnsi="Times New Roman" w:cs="Times New Roman"/>
          <w:b/>
          <w:bCs/>
          <w:sz w:val="24"/>
          <w:szCs w:val="24"/>
          <w:lang w:val="bg"/>
        </w:rPr>
        <w:t xml:space="preserve">мрежата: </w:t>
      </w:r>
      <w:r w:rsidRPr="001D47F2">
        <w:rPr>
          <w:rFonts w:ascii="Times New Roman" w:hAnsi="Times New Roman" w:cs="Times New Roman"/>
          <w:sz w:val="24"/>
          <w:szCs w:val="24"/>
          <w:lang w:val="bg"/>
        </w:rPr>
        <w:t>В случаите, когато съществуващата мрежова инфраструктура не може да поддържа новата връзка, се провежда проучване за определяне на необходимите укрепвания или модернизации. Това може да включва модернизиране на трансформатори, добавяне на нови линии или подобряване на съществуващата инфраструктура. Собственикът на мрежата е отговорен за планирането и изпълнението на тези подобрения, като гарантира, че те се извършват по икономически ефективен и навременен начин.</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b/>
          <w:bCs/>
          <w:sz w:val="24"/>
          <w:szCs w:val="24"/>
          <w:lang w:val="bg"/>
        </w:rPr>
        <w:t xml:space="preserve">Специални условия и опашка за капацитет: </w:t>
      </w:r>
      <w:r w:rsidRPr="001D47F2">
        <w:rPr>
          <w:rFonts w:ascii="Times New Roman" w:hAnsi="Times New Roman" w:cs="Times New Roman"/>
          <w:sz w:val="24"/>
          <w:szCs w:val="24"/>
          <w:lang w:val="bg"/>
        </w:rPr>
        <w:t>Ако в мрежата няма наличен капацитет при нормални условия, Statnett може да оцени възможността за осигуряване на връзка със специални условия, като например изключване или ограничаване на потреблението или производството по време на пиковите периоди. Освен това, ако има повече клиенти, които отговарят на изискванията за зрялост, отколкото има наличен капацитет, се създава опашка за капацитет. Времето на подаване от страна на клиента на зряла поръчка определя мястото му в опашката.</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b/>
          <w:bCs/>
          <w:sz w:val="24"/>
          <w:szCs w:val="24"/>
          <w:lang w:val="bg"/>
        </w:rPr>
        <w:t xml:space="preserve">Окончателно свързване и въвеждане в експлоатация: </w:t>
      </w:r>
      <w:r w:rsidRPr="001D47F2">
        <w:rPr>
          <w:rFonts w:ascii="Times New Roman" w:hAnsi="Times New Roman" w:cs="Times New Roman"/>
          <w:sz w:val="24"/>
          <w:szCs w:val="24"/>
          <w:lang w:val="bg"/>
        </w:rPr>
        <w:t>След като всички необходими ъпгрейди и подкрепления са завършени, окончателната връзка е направена и проектът е пуснат в експлоатация. Собственикът на мрежата гарантира, че всички технически и регулаторни изисквания са изпълнени и новата връзка е интегрирана в мрежата.</w:t>
      </w:r>
    </w:p>
    <w:p w:rsidR="007906A8" w:rsidRDefault="007906A8" w:rsidP="00B01311">
      <w:pPr>
        <w:pStyle w:val="Heading3"/>
        <w:numPr>
          <w:ilvl w:val="2"/>
          <w:numId w:val="183"/>
        </w:numPr>
        <w:spacing w:line="276" w:lineRule="auto"/>
        <w:jc w:val="both"/>
        <w:rPr>
          <w:rFonts w:ascii="Times New Roman" w:hAnsi="Times New Roman" w:cs="Times New Roman"/>
          <w:color w:val="049494"/>
          <w:sz w:val="28"/>
          <w:szCs w:val="28"/>
          <w:lang w:val="bg"/>
        </w:rPr>
      </w:pPr>
      <w:bookmarkStart w:id="119" w:name="bookmark265"/>
      <w:bookmarkStart w:id="120" w:name="bookmark264"/>
      <w:bookmarkStart w:id="121" w:name="_Toc203141276"/>
      <w:r w:rsidRPr="001D47F2">
        <w:rPr>
          <w:rFonts w:ascii="Times New Roman" w:hAnsi="Times New Roman" w:cs="Times New Roman"/>
          <w:color w:val="049494"/>
          <w:sz w:val="28"/>
          <w:szCs w:val="28"/>
          <w:lang w:val="bg"/>
        </w:rPr>
        <w:t>Опашка за капацитет</w:t>
      </w:r>
      <w:bookmarkEnd w:id="119"/>
      <w:bookmarkEnd w:id="120"/>
      <w:bookmarkEnd w:id="121"/>
    </w:p>
    <w:p w:rsidR="00082BFC" w:rsidRPr="00082BFC" w:rsidRDefault="00082BFC" w:rsidP="00082BFC">
      <w:pPr>
        <w:ind w:left="360"/>
        <w:rPr>
          <w:lang w:val="bg"/>
        </w:rPr>
      </w:pP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Опашката за капацитет в Норвегия е механизъм, използван за управление на разпределението на капацитета на мрежата, когато търсенето на връзки надвишава наличния капацитет. Този процес гарантира, че мрежовите връзки се предоставят по организиран и справедлив начин, като се дава приоритет на проекти, които е най-вероятно да бъдат реализирани. Опашката за капацитет се урежда от разпоредбите, определени от норвежкото министерство на енергетиката и контролирани от Statnett и местните ОРС. </w:t>
      </w:r>
      <w:r w:rsidR="001D47F2" w:rsidRPr="001D47F2">
        <w:rPr>
          <w:rFonts w:ascii="Times New Roman" w:hAnsi="Times New Roman" w:cs="Times New Roman"/>
          <w:sz w:val="24"/>
          <w:szCs w:val="24"/>
        </w:rPr>
        <w:t>Statnett</w:t>
      </w:r>
      <w:r w:rsidRPr="001D47F2">
        <w:rPr>
          <w:rFonts w:ascii="Times New Roman" w:hAnsi="Times New Roman" w:cs="Times New Roman"/>
          <w:sz w:val="24"/>
          <w:szCs w:val="24"/>
          <w:lang w:val="bg"/>
        </w:rPr>
        <w:t xml:space="preserve"> има за цел да осигури прозрачност и предоставя статистически данни за случаите на опашки за капацитет</w:t>
      </w:r>
      <w:r w:rsidRPr="001D47F2">
        <w:rPr>
          <w:rFonts w:ascii="Times New Roman" w:hAnsi="Times New Roman" w:cs="Times New Roman"/>
          <w:color w:val="FF0000"/>
          <w:sz w:val="24"/>
          <w:szCs w:val="24"/>
          <w:lang w:val="bg"/>
        </w:rPr>
        <w:t>.</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lastRenderedPageBreak/>
        <w:t>Основното правило за управление на опашката за капацитет е принципът "първи дошъл, първи обслужен". Това означава, че заявленията за присъединяване към мрежата се обработват в реда, в който са получени</w:t>
      </w:r>
      <w:r w:rsidRPr="001D47F2">
        <w:rPr>
          <w:rFonts w:ascii="Times New Roman" w:hAnsi="Times New Roman" w:cs="Times New Roman"/>
          <w:color w:val="4472C4" w:themeColor="accent5"/>
          <w:sz w:val="24"/>
          <w:szCs w:val="24"/>
          <w:lang w:val="bg"/>
        </w:rPr>
        <w:t>.</w:t>
      </w:r>
      <w:r w:rsidRPr="00F015E5">
        <w:rPr>
          <w:rFonts w:ascii="Times New Roman" w:hAnsi="Times New Roman" w:cs="Times New Roman"/>
          <w:color w:val="4472C4" w:themeColor="accent5"/>
          <w:sz w:val="24"/>
          <w:szCs w:val="24"/>
          <w:vertAlign w:val="superscript"/>
          <w:lang w:val="bg"/>
        </w:rPr>
        <w:footnoteReference w:id="37"/>
      </w:r>
      <w:r w:rsidRPr="00F015E5">
        <w:rPr>
          <w:rFonts w:ascii="Times New Roman" w:hAnsi="Times New Roman" w:cs="Times New Roman"/>
          <w:color w:val="4472C4" w:themeColor="accent5"/>
          <w:sz w:val="24"/>
          <w:szCs w:val="24"/>
          <w:vertAlign w:val="superscript"/>
          <w:lang w:val="bg"/>
        </w:rPr>
        <w:t xml:space="preserve"> </w:t>
      </w:r>
      <w:r w:rsidRPr="00F015E5">
        <w:rPr>
          <w:rFonts w:ascii="Times New Roman" w:hAnsi="Times New Roman" w:cs="Times New Roman"/>
          <w:color w:val="4472C4" w:themeColor="accent5"/>
          <w:sz w:val="24"/>
          <w:szCs w:val="24"/>
          <w:vertAlign w:val="superscript"/>
          <w:lang w:val="bg"/>
        </w:rPr>
        <w:footnoteReference w:id="38"/>
      </w:r>
      <w:r w:rsidRPr="00F015E5">
        <w:rPr>
          <w:rFonts w:ascii="Times New Roman" w:hAnsi="Times New Roman" w:cs="Times New Roman"/>
          <w:color w:val="4472C4" w:themeColor="accent5"/>
          <w:sz w:val="24"/>
          <w:szCs w:val="24"/>
          <w:vertAlign w:val="superscript"/>
          <w:lang w:val="bg"/>
        </w:rPr>
        <w:t xml:space="preserve"> </w:t>
      </w:r>
      <w:hyperlink w:anchor="bookmark45" w:tooltip="Current Document">
        <w:r w:rsidRPr="00F015E5">
          <w:rPr>
            <w:rStyle w:val="Hyperlink"/>
            <w:rFonts w:ascii="Times New Roman" w:hAnsi="Times New Roman" w:cs="Times New Roman"/>
            <w:color w:val="4472C4" w:themeColor="accent5"/>
            <w:sz w:val="24"/>
            <w:szCs w:val="24"/>
            <w:vertAlign w:val="superscript"/>
            <w:lang w:val="bg"/>
          </w:rPr>
          <w:footnoteReference w:id="39"/>
        </w:r>
      </w:hyperlink>
      <w:r w:rsidRPr="001D47F2">
        <w:rPr>
          <w:rFonts w:ascii="Times New Roman" w:hAnsi="Times New Roman" w:cs="Times New Roman"/>
          <w:color w:val="4472C4" w:themeColor="accent5"/>
          <w:sz w:val="24"/>
          <w:szCs w:val="24"/>
          <w:lang w:val="bg"/>
        </w:rPr>
        <w:t xml:space="preserve"> </w:t>
      </w:r>
      <w:r w:rsidRPr="001D47F2">
        <w:rPr>
          <w:rFonts w:ascii="Times New Roman" w:hAnsi="Times New Roman" w:cs="Times New Roman"/>
          <w:sz w:val="24"/>
          <w:szCs w:val="24"/>
          <w:lang w:val="bg"/>
        </w:rPr>
        <w:t>Този принцип обаче се допълва от допълнителни критерии, за да се гарантира, че се дава приоритет на най-жизнеспособните проекти.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От 1 януари 2025 г. новите разпоредби изискват само зрели проекти да могат да резервират капацитет или да си осигурят позиция в опашката за капацитет.</w:t>
      </w:r>
      <w:hyperlink w:anchor="bookmark46" w:tooltip="Current Document">
        <w:r w:rsidRPr="00F015E5">
          <w:rPr>
            <w:rStyle w:val="Hyperlink"/>
            <w:rFonts w:ascii="Times New Roman" w:hAnsi="Times New Roman" w:cs="Times New Roman"/>
            <w:sz w:val="24"/>
            <w:szCs w:val="24"/>
            <w:vertAlign w:val="superscript"/>
            <w:lang w:val="bg"/>
          </w:rPr>
          <w:footnoteReference w:id="40"/>
        </w:r>
      </w:hyperlink>
      <w:r w:rsidRPr="00F015E5">
        <w:rPr>
          <w:rFonts w:ascii="Times New Roman" w:hAnsi="Times New Roman" w:cs="Times New Roman"/>
          <w:sz w:val="24"/>
          <w:szCs w:val="24"/>
          <w:vertAlign w:val="superscript"/>
          <w:lang w:val="bg"/>
        </w:rPr>
        <w:t xml:space="preserve"> </w:t>
      </w:r>
      <w:r w:rsidRPr="001D47F2">
        <w:rPr>
          <w:rFonts w:ascii="Times New Roman" w:hAnsi="Times New Roman" w:cs="Times New Roman"/>
          <w:sz w:val="24"/>
          <w:szCs w:val="24"/>
          <w:lang w:val="bg"/>
        </w:rPr>
        <w:t>Зрелостта на даден проект се оценява въз основа на обективни и стандартизирани критерии, известни като критерии за зрялост. Тези критерии оценяват вероятността за успешна реализация на проекта, включително фактори като финансова готовност, техническа осъществимост и регулаторно съответствие.</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След като даден проект си осигури позиция в опашката за капацитет, неговият напредък се наблюдава непрекъснато, за да се гарантира, че той продължава да върви по план. Проектите, които не изпълняват договорен план за напредък, рискуват да загубят резервирането на капацитет или позицията си на опашка. Тази текуща оценка помага да се предотврати заемането на ценен мрежов капацитет от нереализируеми проекти и гарантира, че наличният капацитет се използва ефективно. В случаите, когато в мрежата няма наличен капацитет при нормални условия, Statnett и местните ОРС могат да преценят възможността за осигуряване на връзка със специални условия. Тези условия могат да включват изключване или ограничаване на потреблението или производството по време на пиковите периоди. Този подход дава възможност за приемане на допълнителни проекти, без да се компрометира стабилността и надеждността на мрежата.</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Операторите на електроенергийни мрежи са задължени да гарантират достъп до пазара при обективни и недискриминационни условия. Това означава, че всички кандидати се третират еднакво, а разпределението на капацитета на мрежата се основава на прозрачни и справедливи критерии. Системата от опашки за капацитет е проектирана така, че да поддържа тези принципи, като гарантира, че всички проекти имат справедлив шанс за осигуряване на присъединяване към мрежата.</w:t>
      </w:r>
    </w:p>
    <w:p w:rsidR="007906A8" w:rsidRDefault="007906A8" w:rsidP="00B01311">
      <w:pPr>
        <w:pStyle w:val="Heading3"/>
        <w:numPr>
          <w:ilvl w:val="2"/>
          <w:numId w:val="183"/>
        </w:numPr>
        <w:spacing w:line="276" w:lineRule="auto"/>
        <w:jc w:val="both"/>
        <w:rPr>
          <w:rFonts w:ascii="Times New Roman" w:hAnsi="Times New Roman" w:cs="Times New Roman"/>
          <w:color w:val="049494"/>
          <w:sz w:val="28"/>
          <w:szCs w:val="28"/>
          <w:lang w:val="bg"/>
        </w:rPr>
      </w:pPr>
      <w:bookmarkStart w:id="126" w:name="bookmark268"/>
      <w:bookmarkStart w:id="127" w:name="bookmark267"/>
      <w:bookmarkStart w:id="128" w:name="_Toc203141277"/>
      <w:r w:rsidRPr="001D47F2">
        <w:rPr>
          <w:rFonts w:ascii="Times New Roman" w:hAnsi="Times New Roman" w:cs="Times New Roman"/>
          <w:color w:val="049494"/>
          <w:sz w:val="28"/>
          <w:szCs w:val="28"/>
          <w:lang w:val="bg"/>
        </w:rPr>
        <w:t>Местни пазари за гъвкавост</w:t>
      </w:r>
      <w:bookmarkEnd w:id="126"/>
      <w:bookmarkEnd w:id="127"/>
      <w:bookmarkEnd w:id="128"/>
    </w:p>
    <w:p w:rsidR="00082BFC" w:rsidRPr="00082BFC" w:rsidRDefault="00082BFC" w:rsidP="00082BFC">
      <w:pPr>
        <w:pStyle w:val="ListParagraph"/>
        <w:ind w:left="1080"/>
        <w:rPr>
          <w:lang w:val="bg"/>
        </w:rPr>
      </w:pP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Местните пазари на гъвкавост се очертават като жизненоважен инструмент за операторите на разпределителни системи за управление на стабилността и ефективността на мрежата в контекста на нарастващата интеграция на енергията от възобновяеми източници и децентрализираните енергийни ресурси. Тези пазари позволяват на операторите на разпределителни системи да възлагат поръчки за услуги за гъвкавост от различни </w:t>
      </w:r>
      <w:r w:rsidRPr="001D47F2">
        <w:rPr>
          <w:rFonts w:ascii="Times New Roman" w:hAnsi="Times New Roman" w:cs="Times New Roman"/>
          <w:sz w:val="24"/>
          <w:szCs w:val="24"/>
          <w:lang w:val="bg"/>
        </w:rPr>
        <w:lastRenderedPageBreak/>
        <w:t>доставчици, за да се справят с местните ограничения на мрежата, да управляват претоварването и да избягват скъпоструващи разширения на мрежата.</w:t>
      </w:r>
    </w:p>
    <w:p w:rsidR="007906A8" w:rsidRPr="001D47F2" w:rsidRDefault="007906A8" w:rsidP="001D47F2">
      <w:pPr>
        <w:jc w:val="both"/>
        <w:rPr>
          <w:rFonts w:ascii="Times New Roman" w:hAnsi="Times New Roman" w:cs="Times New Roman"/>
          <w:sz w:val="24"/>
          <w:szCs w:val="24"/>
          <w:lang w:val="bg"/>
        </w:rPr>
      </w:pPr>
      <w:r w:rsidRPr="001D47F2">
        <w:rPr>
          <w:rFonts w:ascii="Times New Roman" w:hAnsi="Times New Roman" w:cs="Times New Roman"/>
          <w:sz w:val="24"/>
          <w:szCs w:val="24"/>
          <w:lang w:val="bg"/>
        </w:rPr>
        <w:t>Местните пазари за гъвкавост функционират, като позволяват на участниците с ресурси за гъвкавост, известни като доставчици на услуги за гъвкавост (ДУГ), да предлагат своите услуги на операторите на разпределителни системи и други оператори на мрежи. Тези ресурси могат да включват гъвкавост на потреблението, акумулиране на енергия и разпределено производство.</w:t>
      </w:r>
      <w:hyperlink w:anchor="bookmark47" w:tooltip="Current Document">
        <w:r w:rsidRPr="00F015E5">
          <w:rPr>
            <w:rStyle w:val="Hyperlink"/>
            <w:rFonts w:ascii="Times New Roman" w:hAnsi="Times New Roman" w:cs="Times New Roman"/>
            <w:sz w:val="24"/>
            <w:szCs w:val="24"/>
            <w:vertAlign w:val="superscript"/>
            <w:lang w:val="bg"/>
          </w:rPr>
          <w:footnoteReference w:id="41"/>
        </w:r>
      </w:hyperlink>
      <w:r w:rsidRPr="00F015E5">
        <w:rPr>
          <w:rFonts w:ascii="Times New Roman" w:hAnsi="Times New Roman" w:cs="Times New Roman"/>
          <w:sz w:val="24"/>
          <w:szCs w:val="24"/>
          <w:vertAlign w:val="superscript"/>
          <w:lang w:val="bg"/>
        </w:rPr>
        <w:t xml:space="preserve"> </w:t>
      </w:r>
      <w:r w:rsidRPr="001D47F2">
        <w:rPr>
          <w:rFonts w:ascii="Times New Roman" w:hAnsi="Times New Roman" w:cs="Times New Roman"/>
          <w:sz w:val="24"/>
          <w:szCs w:val="24"/>
          <w:lang w:val="bg"/>
        </w:rPr>
        <w:t>Основните участници на тези пазари са операторите на разпределителни системи, които се стремят да управляват проблемите на местната мрежа, и доставчиците на финансови услуги, които осигуряват необходимата гъвкавост.</w:t>
      </w:r>
    </w:p>
    <w:p w:rsidR="007906A8" w:rsidRPr="001D47F2" w:rsidRDefault="007906A8" w:rsidP="001D47F2">
      <w:pPr>
        <w:jc w:val="both"/>
        <w:rPr>
          <w:rFonts w:ascii="Times New Roman" w:hAnsi="Times New Roman" w:cs="Times New Roman"/>
          <w:sz w:val="24"/>
          <w:szCs w:val="24"/>
          <w:lang w:val="bg"/>
        </w:rPr>
      </w:pPr>
      <w:r w:rsidRPr="001D47F2">
        <w:rPr>
          <w:rFonts w:ascii="Times New Roman" w:hAnsi="Times New Roman" w:cs="Times New Roman"/>
          <w:sz w:val="24"/>
          <w:szCs w:val="24"/>
          <w:lang w:val="bg"/>
        </w:rPr>
        <w:t>Пазарният подход към местната гъвкавост включва създаването на платформа, където гъвкавостта може да се търгува като услуга. ОРС определят области в рамките на своята мрежа, в които е необходима гъвкавост, като например региони, в които има претоварване или голямо търсене. След това те издават искания за услуги за гъвкавост, като посочват необходимата сума, п</w:t>
      </w:r>
      <w:r w:rsidR="001D47F2" w:rsidRPr="001D47F2">
        <w:rPr>
          <w:rFonts w:ascii="Times New Roman" w:hAnsi="Times New Roman" w:cs="Times New Roman"/>
          <w:sz w:val="24"/>
          <w:szCs w:val="24"/>
          <w:lang w:val="bg"/>
        </w:rPr>
        <w:t>родължителност и местоположение</w:t>
      </w:r>
      <w:r w:rsidRPr="001D47F2">
        <w:rPr>
          <w:rFonts w:ascii="Times New Roman" w:hAnsi="Times New Roman" w:cs="Times New Roman"/>
          <w:sz w:val="24"/>
          <w:szCs w:val="24"/>
          <w:lang w:val="bg"/>
        </w:rPr>
        <w:t>. СПФО отговарят на тези искания, като подават оферти, предлагайки своите ресурси за гъвкавост на конкурентни цени.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В Норвегия платформата NODES</w:t>
      </w:r>
      <w:hyperlink w:anchor="bookmark48" w:tooltip="Current Document">
        <w:r w:rsidRPr="00F015E5">
          <w:rPr>
            <w:rStyle w:val="Hyperlink"/>
            <w:rFonts w:ascii="Times New Roman" w:hAnsi="Times New Roman" w:cs="Times New Roman"/>
            <w:sz w:val="24"/>
            <w:szCs w:val="24"/>
            <w:vertAlign w:val="superscript"/>
            <w:lang w:val="bg"/>
          </w:rPr>
          <w:footnoteReference w:id="42"/>
        </w:r>
      </w:hyperlink>
      <w:r w:rsidRPr="001D47F2">
        <w:rPr>
          <w:rFonts w:ascii="Times New Roman" w:hAnsi="Times New Roman" w:cs="Times New Roman"/>
          <w:sz w:val="24"/>
          <w:szCs w:val="24"/>
          <w:lang w:val="bg"/>
        </w:rPr>
        <w:t xml:space="preserve"> е ключов участник в улесняването на местните пазари за гъвкавост. Euroflex, пазар на платформата NODES, включва осем от най-големите оператори на разпределителни системи в Норвегия, които купуват гъвкавост, като използват различни продукти, като почасово активиране на пазара ShortFlexTM, продукти за наличност на пазара LongFlexTM и ограничени енергийни продукти на пазара MaxUsageTM. Тази платформа отговаря на търсенето и предлагането на гъвкавост, като гарантира, че се използват най-рентабилните решения.</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Пазарната платформа отговаря на търсенето и предлагането на гъвкавост, като гарантира, че се използват най-рентабилните</w:t>
      </w:r>
      <w:r w:rsidR="001D47F2" w:rsidRPr="001D47F2">
        <w:rPr>
          <w:rFonts w:ascii="Times New Roman" w:hAnsi="Times New Roman" w:cs="Times New Roman"/>
          <w:sz w:val="24"/>
          <w:szCs w:val="24"/>
        </w:rPr>
        <w:t xml:space="preserve"> </w:t>
      </w:r>
      <w:r w:rsidRPr="001D47F2">
        <w:rPr>
          <w:rFonts w:ascii="Times New Roman" w:hAnsi="Times New Roman" w:cs="Times New Roman"/>
          <w:sz w:val="24"/>
          <w:szCs w:val="24"/>
          <w:lang w:val="bg"/>
        </w:rPr>
        <w:softHyphen/>
        <w:t>решения. Този подход използва съвременните технологии, дигитализацията и моделите за прогнозиране, за да оптимизира използването на гъвкави ресурси. Като използват пазарна система, операторите на разпределителни системи могат ефективно да разпределят ресурсите за гъвкавост там, където са най-необходими, като подобряват стабилността на мрежата и намаляват оперативните разходи.</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Местните пазари за гъвкавост предлагат няколко ползи за операторите на разпределителни системи. Те осигуряват икономически ефективна алтернатива на традиционното укрепване на мрежата, като позволяват на операторите на разпределителни системи да управляват ограниченията на мрежата без мащабни инфраструктурни инвестиции. Тези пазари също така засилват интеграцията на възобновяемите енергийни източници, като осигуряват необходимата гъвкавост, за да се приспособи променливото производство на вятърна</w:t>
      </w:r>
      <w:r w:rsidR="001D47F2">
        <w:rPr>
          <w:rFonts w:ascii="Times New Roman" w:hAnsi="Times New Roman" w:cs="Times New Roman"/>
          <w:sz w:val="24"/>
          <w:szCs w:val="24"/>
        </w:rPr>
        <w:t xml:space="preserve"> </w:t>
      </w:r>
      <w:hyperlink w:anchor="bookmark49" w:tooltip="Current Document">
        <w:r w:rsidRPr="00F015E5">
          <w:rPr>
            <w:rStyle w:val="Hyperlink"/>
            <w:rFonts w:ascii="Times New Roman" w:hAnsi="Times New Roman" w:cs="Times New Roman"/>
            <w:sz w:val="24"/>
            <w:szCs w:val="24"/>
            <w:vertAlign w:val="superscript"/>
            <w:lang w:val="bg"/>
          </w:rPr>
          <w:footnoteReference w:id="43"/>
        </w:r>
      </w:hyperlink>
      <w:r w:rsidRPr="001D47F2">
        <w:rPr>
          <w:rFonts w:ascii="Times New Roman" w:hAnsi="Times New Roman" w:cs="Times New Roman"/>
          <w:sz w:val="24"/>
          <w:szCs w:val="24"/>
          <w:lang w:val="bg"/>
        </w:rPr>
        <w:t xml:space="preserve"> и слънчева енергия.</w:t>
      </w: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Съществуват обаче предизвикателства, свързани с функционирането на местните пазари на гъвкавост. Осигуряването на достатъчно участие от страна на СПФО е от решаващо значение за успеха на пазара. Освен това регулаторната рамка трябва да подкрепя развитието и функционирането на тези пазари, като предоставя ясни насоки и стимули както за операторите на разпределителни системи, така и за доставчиците на финансови услуги. </w:t>
      </w:r>
      <w:r w:rsidRPr="001D47F2">
        <w:rPr>
          <w:rFonts w:ascii="Times New Roman" w:hAnsi="Times New Roman" w:cs="Times New Roman"/>
          <w:sz w:val="24"/>
          <w:szCs w:val="24"/>
          <w:lang w:val="bg"/>
        </w:rPr>
        <w:lastRenderedPageBreak/>
        <w:t>Ефективната комуникация и координация между участниците на пазара също са от съществено значение за гарантиране на ефективното функциониране на пазара. Очаква се развитието на местните пазари за гъвкавост да продължи с напредването на енергийния преход и с бъдещия напредък в технологиите за интелигентни мрежи, съхранението на енергия и цифровите платформи.</w:t>
      </w:r>
    </w:p>
    <w:p w:rsidR="007906A8" w:rsidRDefault="007906A8" w:rsidP="00B01311">
      <w:pPr>
        <w:pStyle w:val="Heading2"/>
        <w:numPr>
          <w:ilvl w:val="1"/>
          <w:numId w:val="183"/>
        </w:numPr>
        <w:spacing w:line="276" w:lineRule="auto"/>
        <w:jc w:val="both"/>
        <w:rPr>
          <w:rFonts w:ascii="Times New Roman" w:hAnsi="Times New Roman" w:cs="Times New Roman"/>
          <w:color w:val="049494"/>
          <w:sz w:val="32"/>
          <w:szCs w:val="32"/>
          <w:lang w:val="bg"/>
        </w:rPr>
      </w:pPr>
      <w:bookmarkStart w:id="132" w:name="bookmark271"/>
      <w:bookmarkStart w:id="133" w:name="bookmark270"/>
      <w:bookmarkStart w:id="134" w:name="_Toc203141278"/>
      <w:r w:rsidRPr="00082BFC">
        <w:rPr>
          <w:rFonts w:ascii="Times New Roman" w:hAnsi="Times New Roman" w:cs="Times New Roman"/>
          <w:color w:val="049494"/>
          <w:sz w:val="32"/>
          <w:szCs w:val="32"/>
          <w:lang w:val="bg"/>
        </w:rPr>
        <w:t>Сравнителен анализ спрямо България, препоръки и пътна карта за изпълнение</w:t>
      </w:r>
      <w:bookmarkEnd w:id="132"/>
      <w:bookmarkEnd w:id="133"/>
      <w:bookmarkEnd w:id="134"/>
    </w:p>
    <w:p w:rsidR="00082BFC" w:rsidRPr="00082BFC" w:rsidRDefault="00082BFC" w:rsidP="00082BFC">
      <w:pPr>
        <w:pStyle w:val="ListParagraph"/>
        <w:ind w:left="795"/>
        <w:rPr>
          <w:lang w:val="bg"/>
        </w:rPr>
      </w:pPr>
    </w:p>
    <w:p w:rsidR="007906A8"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Сравнителният анализ между България и Норвегия разкрива значителни различия в техните регулаторни рамки и функционирането на операторите на разпределителни системи, които оказват въздействие върху създаването и функционирането на енергийните общности. Норвежката регулаторна среда се характеризира с добре дефинирана и подкрепяща рамка за битовите и промишлените произвеждащи потребители, включително стимули за собствено потребление и споделяне на енергия, стабилни отговорности на операторите на разпределителни системи и усъвършенствана технологична инфраструктура като платформата за данни Elhub. Норвежките ОРС работят съгласно ясен набор от разпоредби, които гарантират ефективно, надеждно и устойчиво управление на мрежата, подкрепено от икономически стимули като тавани на приходите и мрежови тарифи, предназначени да насърчават интеграцията на енергията от възобновяеми източници, инициативите за научноизследователска и развойна дейност и местните пазари за гъвкавост. Въпреки това Норвегия не разполага с ясна рамка за енергийните общности като такива и не е включила VNM в настоящите си разпоредби, като споделянето на енергия (с определен размер на производството) между съседни субекти е най-близкото до прилагането на енергийната общност. Въпреки това пилотните дейности и ангажиментите на властите към регламентите на ЕС показват, че Норвегия е на прав път по отношение на развитието на енергийната общност.</w:t>
      </w:r>
    </w:p>
    <w:p w:rsidR="001D47F2" w:rsidRPr="001D47F2" w:rsidRDefault="007906A8" w:rsidP="001D47F2">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Регулаторната рамка на България за енергийните общности, от друга страна, все още се развива и е изправена пред няколко предизвикателства. В действащото законодателство, макар и да се признават енергийните общности, липсват подробни оперативни процедури и механизми за подкрепа. Българските оператори на разпределителни системи са съсредоточени предимно върху традиционното управление на мрежата, с ограничени разпоредби за</w:t>
      </w:r>
      <w:r w:rsidR="001D47F2">
        <w:rPr>
          <w:rFonts w:ascii="Times New Roman" w:hAnsi="Times New Roman" w:cs="Times New Roman"/>
          <w:sz w:val="24"/>
          <w:szCs w:val="24"/>
          <w:lang w:val="bg"/>
        </w:rPr>
        <w:t xml:space="preserve"> интегриране на децентрализиран</w:t>
      </w:r>
      <w:r w:rsidR="001D47F2">
        <w:rPr>
          <w:rFonts w:ascii="Times New Roman" w:hAnsi="Times New Roman" w:cs="Times New Roman"/>
          <w:sz w:val="24"/>
          <w:szCs w:val="24"/>
          <w:lang w:val="bg-BG"/>
        </w:rPr>
        <w:t>и</w:t>
      </w:r>
      <w:r w:rsidR="001D47F2">
        <w:rPr>
          <w:rFonts w:ascii="Times New Roman" w:hAnsi="Times New Roman" w:cs="Times New Roman"/>
          <w:sz w:val="24"/>
          <w:szCs w:val="24"/>
        </w:rPr>
        <w:t xml:space="preserve"> </w:t>
      </w:r>
      <w:r w:rsidR="001D47F2" w:rsidRPr="001D47F2">
        <w:rPr>
          <w:rFonts w:ascii="Times New Roman" w:hAnsi="Times New Roman" w:cs="Times New Roman"/>
          <w:sz w:val="24"/>
          <w:szCs w:val="24"/>
          <w:lang w:val="bg"/>
        </w:rPr>
        <w:t>енергийни ресурси и улесняване на споделянето на енергия. Липсата на всеобхватно въвеждане на интелигентно отчитане и обмен на данни в реално време допълнително възпрепятства до известна степен развитието на енергийните общности.</w:t>
      </w:r>
    </w:p>
    <w:p w:rsidR="007906A8" w:rsidRPr="001D47F2" w:rsidRDefault="007906A8" w:rsidP="00FA57D1">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За да се приспособят предприятията от енергийната общност, България трябва да предприеме няколко бъдещи стъпки: в краткосрочен, средносрочен и дългосрочен план. Първо, тя следва да разработи специална регулаторна рамка, която да включва ясни определения и оперативни насоки за енергийните общности, подобно на подхода на Норвегия. Тази рамка следва да се отнася до достъпа до мрежата, измерването и протоколите за обмен на данни, за да се даде възможност за ефективно споделяне на енергия и собствено</w:t>
      </w:r>
      <w:r w:rsidR="001D47F2" w:rsidRPr="001D47F2">
        <w:rPr>
          <w:rFonts w:ascii="Times New Roman" w:hAnsi="Times New Roman" w:cs="Times New Roman"/>
          <w:sz w:val="24"/>
          <w:szCs w:val="24"/>
          <w:lang w:val="bg"/>
        </w:rPr>
        <w:t xml:space="preserve"> </w:t>
      </w:r>
      <w:r w:rsidRPr="001D47F2">
        <w:rPr>
          <w:rFonts w:ascii="Times New Roman" w:hAnsi="Times New Roman" w:cs="Times New Roman"/>
          <w:sz w:val="24"/>
          <w:szCs w:val="24"/>
          <w:lang w:val="bg"/>
        </w:rPr>
        <w:softHyphen/>
        <w:t xml:space="preserve">потребление. В средносрочен план следва да се улесни сътрудничеството между операторите на разпределителни системи, търговците на енергия и членовете на </w:t>
      </w:r>
      <w:r w:rsidRPr="001D47F2">
        <w:rPr>
          <w:rFonts w:ascii="Times New Roman" w:hAnsi="Times New Roman" w:cs="Times New Roman"/>
          <w:sz w:val="24"/>
          <w:szCs w:val="24"/>
          <w:lang w:val="bg"/>
        </w:rPr>
        <w:lastRenderedPageBreak/>
        <w:t>общността чрез рационализирани административни процедури и обслужване на едно гише, което ще повиши цялостната ефективност и устойчивост на проектите на енергийната общност. Прилагането на стимули за производство на енергия от възобновяеми източници и собствено</w:t>
      </w:r>
      <w:r w:rsidR="001D47F2" w:rsidRPr="001D47F2">
        <w:rPr>
          <w:rFonts w:ascii="Times New Roman" w:hAnsi="Times New Roman" w:cs="Times New Roman"/>
          <w:sz w:val="24"/>
          <w:szCs w:val="24"/>
          <w:lang w:val="bg"/>
        </w:rPr>
        <w:t xml:space="preserve"> </w:t>
      </w:r>
      <w:r w:rsidRPr="001D47F2">
        <w:rPr>
          <w:rFonts w:ascii="Times New Roman" w:hAnsi="Times New Roman" w:cs="Times New Roman"/>
          <w:sz w:val="24"/>
          <w:szCs w:val="24"/>
          <w:lang w:val="bg"/>
        </w:rPr>
        <w:softHyphen/>
        <w:t>потребление, заедно с подкрепящи мрежови тарифи и модели за таван на приходите, ще насърчи растежа на енергийните общности. И накрая, България би могла да инвестира в технологична инфраструктура, като например централизирана платформа за данни, подобна на Elhub, за да улесни събирането и обмена на данни в реално време.</w:t>
      </w:r>
    </w:p>
    <w:p w:rsidR="007906A8" w:rsidRPr="001D47F2" w:rsidRDefault="007906A8" w:rsidP="00FA57D1">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 xml:space="preserve">За да осигурим реалистичен подход към стъпките за сравнителен анализ и препоръки, направихме редица интервюта с различни заинтересовани страни. По време на кръговете интервюта с операторите на разпределителни системи признахме, че интересът към виртуалното фактуриране е по-висок от въвеждането на VNM. </w:t>
      </w:r>
      <w:r w:rsidRPr="001D47F2">
        <w:rPr>
          <w:rFonts w:ascii="Times New Roman" w:hAnsi="Times New Roman" w:cs="Times New Roman"/>
          <w:b/>
          <w:bCs/>
          <w:sz w:val="24"/>
          <w:szCs w:val="24"/>
          <w:lang w:val="bg"/>
        </w:rPr>
        <w:t xml:space="preserve">Виртуалният механизъм за фактуриране </w:t>
      </w:r>
      <w:r w:rsidRPr="001D47F2">
        <w:rPr>
          <w:rFonts w:ascii="Times New Roman" w:hAnsi="Times New Roman" w:cs="Times New Roman"/>
          <w:sz w:val="24"/>
          <w:szCs w:val="24"/>
          <w:lang w:val="bg"/>
        </w:rPr>
        <w:t>позволява на потребителите да получават финансови кредити в сметките си за електроенергия, съответстващи на количеството енергия от възобновяеми източници, произведена другаде, без пряко да компенсират потреблението си. Тази система често е по-лесна за прилагане в рамките на съществуващите инфраструктури за фактуриране, тъй като включва предимно финансови операции, а не корекции на физическите енергийни потоци.</w:t>
      </w:r>
    </w:p>
    <w:p w:rsidR="007906A8" w:rsidRPr="001D47F2" w:rsidRDefault="007906A8" w:rsidP="00FA57D1">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Държави като Гърция вече са преминали от VNM към виртуално фактуриране. Правната рамка на Гърция за енергийните общности улеснява колективното собствено потребление чрез виртуално нетно измерване, което дава възможност на потребителите да се възползват от производството на енергия от възобновяеми източници без инсталации на място.</w:t>
      </w:r>
    </w:p>
    <w:p w:rsidR="007906A8" w:rsidRPr="001D47F2" w:rsidRDefault="007906A8" w:rsidP="00FA57D1">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По този начин партньорите по проекта признават нетното измерване и виртуалното нетно измерване като по-лесни и по-привлекателни концепции от гледна точка на произвеждащите потребители, а не на виртуалното фактуриране. Виртуалното фактуриране обаче е добро начало за клиентите (включително произвеждащите потребители и енергийните общности), които имат финансовата култура, които се стремят към екологична отговорност или и двете.</w:t>
      </w:r>
    </w:p>
    <w:p w:rsidR="007906A8" w:rsidRDefault="007906A8" w:rsidP="00FA57D1">
      <w:pPr>
        <w:spacing w:line="276" w:lineRule="auto"/>
        <w:jc w:val="both"/>
        <w:rPr>
          <w:rFonts w:ascii="Times New Roman" w:hAnsi="Times New Roman" w:cs="Times New Roman"/>
          <w:sz w:val="24"/>
          <w:szCs w:val="24"/>
          <w:lang w:val="bg"/>
        </w:rPr>
      </w:pPr>
      <w:r w:rsidRPr="001D47F2">
        <w:rPr>
          <w:rFonts w:ascii="Times New Roman" w:hAnsi="Times New Roman" w:cs="Times New Roman"/>
          <w:sz w:val="24"/>
          <w:szCs w:val="24"/>
          <w:lang w:val="bg"/>
        </w:rPr>
        <w:t>Дългосрочното въздействие на собственото потребление върху стабилността на мрежата и тарифните структури е аспект, който все още не е достатъчно проучен. В доклада на АУЕР се предупреждава, че широкомащабното участие на произвеждащите потребители може да доведе до изместване на разходите между потребителите на собствена електроенергия и други потребители на електроенергия, особено ако произвеждащите потребители са освободени от определени такси за мрежата, като същевременно все още разчитат на мрежови услуги за излишъка от износа на енергия. Справянето с този проблем изисква внимателна преоценка на тарифните структури, за да се гарантира, че произвеждащите потребители допринасят справедливо за разходите за поддръжка на мрежата, като същевременно се стимулират да увеличат максимално местното потребление и съхранение на енергия.</w:t>
      </w:r>
    </w:p>
    <w:p w:rsidR="00FA57D1" w:rsidRDefault="00FA57D1" w:rsidP="00FA57D1">
      <w:pPr>
        <w:spacing w:line="276" w:lineRule="auto"/>
        <w:jc w:val="both"/>
        <w:rPr>
          <w:rFonts w:ascii="Times New Roman" w:hAnsi="Times New Roman" w:cs="Times New Roman"/>
          <w:sz w:val="24"/>
          <w:szCs w:val="24"/>
          <w:lang w:val="bg"/>
        </w:rPr>
      </w:pPr>
    </w:p>
    <w:p w:rsidR="007906A8" w:rsidRDefault="007906A8" w:rsidP="00B01311">
      <w:pPr>
        <w:pStyle w:val="Heading1"/>
        <w:numPr>
          <w:ilvl w:val="0"/>
          <w:numId w:val="133"/>
        </w:numPr>
        <w:rPr>
          <w:rFonts w:ascii="Times New Roman" w:hAnsi="Times New Roman" w:cs="Times New Roman"/>
          <w:color w:val="24B1C0"/>
          <w:lang w:val="bg"/>
        </w:rPr>
      </w:pPr>
      <w:bookmarkStart w:id="135" w:name="bookmark274"/>
      <w:bookmarkStart w:id="136" w:name="bookmark273"/>
      <w:bookmarkStart w:id="137" w:name="_Toc203141279"/>
      <w:r w:rsidRPr="00082BFC">
        <w:rPr>
          <w:rFonts w:ascii="Times New Roman" w:hAnsi="Times New Roman" w:cs="Times New Roman"/>
          <w:color w:val="24B1C0"/>
          <w:lang w:val="bg"/>
        </w:rPr>
        <w:t>Технически спецификации</w:t>
      </w:r>
      <w:bookmarkEnd w:id="135"/>
      <w:bookmarkEnd w:id="136"/>
      <w:bookmarkEnd w:id="137"/>
    </w:p>
    <w:p w:rsidR="00082BFC" w:rsidRPr="00082BFC" w:rsidRDefault="00082BFC" w:rsidP="00082BFC">
      <w:pPr>
        <w:pStyle w:val="ListParagraph"/>
        <w:ind w:left="435"/>
        <w:rPr>
          <w:lang w:val="bg"/>
        </w:rPr>
      </w:pPr>
    </w:p>
    <w:p w:rsidR="007906A8" w:rsidRDefault="007906A8" w:rsidP="00B01311">
      <w:pPr>
        <w:pStyle w:val="Heading2"/>
        <w:numPr>
          <w:ilvl w:val="1"/>
          <w:numId w:val="133"/>
        </w:numPr>
        <w:spacing w:line="276" w:lineRule="auto"/>
        <w:jc w:val="both"/>
        <w:rPr>
          <w:rFonts w:ascii="Times New Roman" w:hAnsi="Times New Roman" w:cs="Times New Roman"/>
          <w:color w:val="049494"/>
          <w:sz w:val="30"/>
          <w:szCs w:val="30"/>
          <w:lang w:val="bg"/>
        </w:rPr>
      </w:pPr>
      <w:bookmarkStart w:id="138" w:name="bookmark277"/>
      <w:bookmarkStart w:id="139" w:name="bookmark276"/>
      <w:bookmarkStart w:id="140" w:name="_Toc203141280"/>
      <w:r w:rsidRPr="00082BFC">
        <w:rPr>
          <w:rFonts w:ascii="Times New Roman" w:hAnsi="Times New Roman" w:cs="Times New Roman"/>
          <w:color w:val="049494"/>
          <w:sz w:val="30"/>
          <w:szCs w:val="30"/>
          <w:lang w:val="bg"/>
        </w:rPr>
        <w:lastRenderedPageBreak/>
        <w:t>Технологичен статус в България</w:t>
      </w:r>
      <w:bookmarkEnd w:id="138"/>
      <w:bookmarkEnd w:id="139"/>
      <w:bookmarkEnd w:id="140"/>
    </w:p>
    <w:p w:rsidR="00082BFC" w:rsidRPr="00082BFC" w:rsidRDefault="00082BFC" w:rsidP="00082BFC">
      <w:pPr>
        <w:pStyle w:val="ListParagraph"/>
        <w:ind w:left="810"/>
        <w:rPr>
          <w:lang w:val="bg"/>
        </w:rPr>
      </w:pPr>
    </w:p>
    <w:p w:rsidR="007906A8" w:rsidRDefault="007906A8" w:rsidP="00B01311">
      <w:pPr>
        <w:pStyle w:val="Heading3"/>
        <w:numPr>
          <w:ilvl w:val="2"/>
          <w:numId w:val="133"/>
        </w:numPr>
        <w:spacing w:line="276" w:lineRule="auto"/>
        <w:jc w:val="both"/>
        <w:rPr>
          <w:rFonts w:ascii="Times New Roman" w:hAnsi="Times New Roman" w:cs="Times New Roman"/>
          <w:color w:val="049494"/>
          <w:sz w:val="28"/>
          <w:szCs w:val="28"/>
          <w:lang w:val="bg"/>
        </w:rPr>
      </w:pPr>
      <w:bookmarkStart w:id="141" w:name="bookmark280"/>
      <w:bookmarkStart w:id="142" w:name="bookmark279"/>
      <w:bookmarkStart w:id="143" w:name="_Toc203141281"/>
      <w:r w:rsidRPr="001621FA">
        <w:rPr>
          <w:rFonts w:ascii="Times New Roman" w:hAnsi="Times New Roman" w:cs="Times New Roman"/>
          <w:color w:val="049494"/>
          <w:sz w:val="28"/>
          <w:szCs w:val="28"/>
          <w:lang w:val="bg"/>
        </w:rPr>
        <w:t>Измерване на енергията и отчитане на производството и потреблението</w:t>
      </w:r>
      <w:bookmarkEnd w:id="141"/>
      <w:bookmarkEnd w:id="142"/>
      <w:bookmarkEnd w:id="143"/>
    </w:p>
    <w:p w:rsidR="00082BFC" w:rsidRPr="00082BFC" w:rsidRDefault="00082BFC" w:rsidP="00082BFC">
      <w:pPr>
        <w:pStyle w:val="ListParagraph"/>
        <w:ind w:left="1080"/>
        <w:rPr>
          <w:lang w:val="bg"/>
        </w:rPr>
      </w:pP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Електроенергията в България се измерва чрез търговски измервателни уреди, инсталирани в точките на присъединяване към мрежата, управлявани изключително от операторите на разпределителни системи. Произвеждащите потребители и производителите на енергия трябва да разполагат с двупосочни измервателни уреди, които могат да записват както внесената (потребената), така и изнесената (произведената) електроенергия. Тези измервателни уреди се инсталират и поддържат от операторите на разпределителни системи съгласно Правилата за измерване на електрическата енергия (Правила за измерване на количеството електрическа енергия, издадени от КЕВР) и Наредбата за измерване и сетълмент на количествата електрическа енергия (Наредба No 6/2014 г. за измерване на количествата електрическа енергия).</w:t>
      </w: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Фактурирането на електроенергията се състои от няколко компонента:</w:t>
      </w:r>
    </w:p>
    <w:p w:rsidR="001621FA" w:rsidRDefault="007906A8" w:rsidP="00B01311">
      <w:pPr>
        <w:pStyle w:val="ListParagraph"/>
        <w:numPr>
          <w:ilvl w:val="0"/>
          <w:numId w:val="70"/>
        </w:numPr>
        <w:spacing w:line="276" w:lineRule="auto"/>
        <w:jc w:val="both"/>
        <w:rPr>
          <w:rFonts w:ascii="Times New Roman" w:hAnsi="Times New Roman" w:cs="Times New Roman"/>
          <w:sz w:val="24"/>
          <w:szCs w:val="24"/>
          <w:lang w:val="bg"/>
        </w:rPr>
      </w:pPr>
      <w:r w:rsidRPr="001621FA">
        <w:rPr>
          <w:rFonts w:ascii="Times New Roman" w:hAnsi="Times New Roman" w:cs="Times New Roman"/>
          <w:b/>
          <w:bCs/>
          <w:sz w:val="24"/>
          <w:szCs w:val="24"/>
          <w:lang w:val="bg"/>
        </w:rPr>
        <w:t xml:space="preserve">Цена на електроенергията </w:t>
      </w:r>
      <w:r w:rsidRPr="001621FA">
        <w:rPr>
          <w:rFonts w:ascii="Times New Roman" w:hAnsi="Times New Roman" w:cs="Times New Roman"/>
          <w:sz w:val="24"/>
          <w:szCs w:val="24"/>
          <w:lang w:val="bg"/>
        </w:rPr>
        <w:t>(определена с договор за потребители на свободния пазар или определена от регулатора за регулирани потребители).</w:t>
      </w:r>
    </w:p>
    <w:p w:rsidR="001621FA" w:rsidRPr="001621FA" w:rsidRDefault="007906A8" w:rsidP="00B01311">
      <w:pPr>
        <w:pStyle w:val="ListParagraph"/>
        <w:numPr>
          <w:ilvl w:val="0"/>
          <w:numId w:val="70"/>
        </w:numPr>
        <w:spacing w:line="276" w:lineRule="auto"/>
        <w:jc w:val="both"/>
        <w:rPr>
          <w:rFonts w:ascii="Times New Roman" w:hAnsi="Times New Roman" w:cs="Times New Roman"/>
          <w:sz w:val="24"/>
          <w:szCs w:val="24"/>
          <w:lang w:val="bg"/>
        </w:rPr>
      </w:pPr>
      <w:r w:rsidRPr="001621FA">
        <w:rPr>
          <w:rFonts w:ascii="Times New Roman" w:hAnsi="Times New Roman" w:cs="Times New Roman"/>
          <w:b/>
          <w:bCs/>
          <w:sz w:val="24"/>
          <w:szCs w:val="24"/>
          <w:lang w:val="bg"/>
        </w:rPr>
        <w:t xml:space="preserve">Мрежови такси </w:t>
      </w:r>
      <w:r w:rsidRPr="001621FA">
        <w:rPr>
          <w:rFonts w:ascii="Times New Roman" w:hAnsi="Times New Roman" w:cs="Times New Roman"/>
          <w:sz w:val="24"/>
          <w:szCs w:val="24"/>
          <w:lang w:val="bg"/>
        </w:rPr>
        <w:t xml:space="preserve">за пренос (такса пренос) и разпределение (такса разпределение), определени от </w:t>
      </w:r>
      <w:r w:rsidRPr="001621FA">
        <w:rPr>
          <w:rFonts w:ascii="Times New Roman" w:hAnsi="Times New Roman" w:cs="Times New Roman"/>
          <w:b/>
          <w:bCs/>
          <w:sz w:val="24"/>
          <w:szCs w:val="24"/>
          <w:lang w:val="bg"/>
        </w:rPr>
        <w:t>КЕВР.</w:t>
      </w:r>
    </w:p>
    <w:p w:rsidR="001621FA" w:rsidRDefault="007906A8" w:rsidP="00B01311">
      <w:pPr>
        <w:pStyle w:val="ListParagraph"/>
        <w:numPr>
          <w:ilvl w:val="0"/>
          <w:numId w:val="70"/>
        </w:numPr>
        <w:spacing w:line="276" w:lineRule="auto"/>
        <w:jc w:val="both"/>
        <w:rPr>
          <w:rFonts w:ascii="Times New Roman" w:hAnsi="Times New Roman" w:cs="Times New Roman"/>
          <w:sz w:val="24"/>
          <w:szCs w:val="24"/>
          <w:lang w:val="bg"/>
        </w:rPr>
      </w:pPr>
      <w:r w:rsidRPr="001621FA">
        <w:rPr>
          <w:rFonts w:ascii="Times New Roman" w:hAnsi="Times New Roman" w:cs="Times New Roman"/>
          <w:b/>
          <w:bCs/>
          <w:sz w:val="24"/>
          <w:szCs w:val="24"/>
          <w:lang w:val="bg"/>
        </w:rPr>
        <w:t xml:space="preserve">Задължение за плащане на обществена такса (Такса </w:t>
      </w:r>
      <w:r w:rsidRPr="001621FA">
        <w:rPr>
          <w:rFonts w:ascii="Times New Roman" w:hAnsi="Times New Roman" w:cs="Times New Roman"/>
          <w:sz w:val="24"/>
          <w:szCs w:val="24"/>
          <w:lang w:val="bg"/>
        </w:rPr>
        <w:t>„Задължение към обществото“) за подпомагане на възобновяемите енергийни източници и комбинираното производство на енергия.</w:t>
      </w:r>
    </w:p>
    <w:p w:rsidR="001621FA" w:rsidRDefault="007906A8" w:rsidP="00B01311">
      <w:pPr>
        <w:pStyle w:val="ListParagraph"/>
        <w:numPr>
          <w:ilvl w:val="0"/>
          <w:numId w:val="70"/>
        </w:numPr>
        <w:spacing w:line="276" w:lineRule="auto"/>
        <w:jc w:val="both"/>
        <w:rPr>
          <w:rFonts w:ascii="Times New Roman" w:hAnsi="Times New Roman" w:cs="Times New Roman"/>
          <w:sz w:val="24"/>
          <w:szCs w:val="24"/>
          <w:lang w:val="bg"/>
        </w:rPr>
      </w:pPr>
      <w:r w:rsidRPr="001621FA">
        <w:rPr>
          <w:rFonts w:ascii="Times New Roman" w:hAnsi="Times New Roman" w:cs="Times New Roman"/>
          <w:b/>
          <w:bCs/>
          <w:sz w:val="24"/>
          <w:szCs w:val="24"/>
          <w:lang w:val="bg"/>
        </w:rPr>
        <w:t xml:space="preserve">Акциз върху </w:t>
      </w:r>
      <w:r w:rsidRPr="001621FA">
        <w:rPr>
          <w:rFonts w:ascii="Times New Roman" w:hAnsi="Times New Roman" w:cs="Times New Roman"/>
          <w:sz w:val="24"/>
          <w:szCs w:val="24"/>
          <w:lang w:val="bg"/>
        </w:rPr>
        <w:t>електрическата енергия (Акциз върху електрическата енергия).</w:t>
      </w:r>
    </w:p>
    <w:p w:rsidR="007906A8" w:rsidRPr="001621FA" w:rsidRDefault="007906A8" w:rsidP="00B01311">
      <w:pPr>
        <w:pStyle w:val="ListParagraph"/>
        <w:numPr>
          <w:ilvl w:val="0"/>
          <w:numId w:val="70"/>
        </w:numPr>
        <w:spacing w:line="276" w:lineRule="auto"/>
        <w:jc w:val="both"/>
        <w:rPr>
          <w:rFonts w:ascii="Times New Roman" w:hAnsi="Times New Roman" w:cs="Times New Roman"/>
          <w:sz w:val="24"/>
          <w:szCs w:val="24"/>
          <w:lang w:val="bg"/>
        </w:rPr>
      </w:pPr>
      <w:r w:rsidRPr="001621FA">
        <w:rPr>
          <w:rFonts w:ascii="Times New Roman" w:hAnsi="Times New Roman" w:cs="Times New Roman"/>
          <w:b/>
          <w:bCs/>
          <w:sz w:val="24"/>
          <w:szCs w:val="24"/>
          <w:lang w:val="bg"/>
        </w:rPr>
        <w:t xml:space="preserve">Данък добавена стойност (ДДС), </w:t>
      </w:r>
      <w:r w:rsidRPr="001621FA">
        <w:rPr>
          <w:rFonts w:ascii="Times New Roman" w:hAnsi="Times New Roman" w:cs="Times New Roman"/>
          <w:sz w:val="24"/>
          <w:szCs w:val="24"/>
          <w:lang w:val="bg"/>
        </w:rPr>
        <w:t>приложен към общата сметка.</w:t>
      </w:r>
    </w:p>
    <w:p w:rsidR="007906A8"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 xml:space="preserve">Произвеждащите потребители получават компенсация за излишната електроенергия, изнесена към мрежата, въз основа на </w:t>
      </w:r>
      <w:r w:rsidRPr="001621FA">
        <w:rPr>
          <w:rFonts w:ascii="Times New Roman" w:hAnsi="Times New Roman" w:cs="Times New Roman"/>
          <w:b/>
          <w:bCs/>
          <w:sz w:val="24"/>
          <w:szCs w:val="24"/>
          <w:lang w:val="bg"/>
        </w:rPr>
        <w:t xml:space="preserve">пазарни цени </w:t>
      </w:r>
      <w:r w:rsidRPr="001621FA">
        <w:rPr>
          <w:rFonts w:ascii="Times New Roman" w:hAnsi="Times New Roman" w:cs="Times New Roman"/>
          <w:sz w:val="24"/>
          <w:szCs w:val="24"/>
          <w:lang w:val="bg"/>
        </w:rPr>
        <w:t xml:space="preserve">или специфични </w:t>
      </w:r>
      <w:r w:rsidRPr="001621FA">
        <w:rPr>
          <w:rFonts w:ascii="Times New Roman" w:hAnsi="Times New Roman" w:cs="Times New Roman"/>
          <w:b/>
          <w:bCs/>
          <w:sz w:val="24"/>
          <w:szCs w:val="24"/>
          <w:lang w:val="bg"/>
        </w:rPr>
        <w:t>споразумения за преференциални тарифи,</w:t>
      </w:r>
      <w:r w:rsidRPr="001621FA">
        <w:rPr>
          <w:rFonts w:ascii="Times New Roman" w:hAnsi="Times New Roman" w:cs="Times New Roman"/>
          <w:sz w:val="24"/>
          <w:szCs w:val="24"/>
          <w:lang w:val="bg"/>
        </w:rPr>
        <w:t xml:space="preserve"> в зависимост от техния договорен и регулаторен статут. Отговорността за фактуриране зависи от това дали потребителят е на регулирания пазар или на свободния пазар. Ролите на операторите на разпределителни системи, търговците на енергия и доставчиците са различни, но всички те си взаимодействат в процеса на фактуриране.</w:t>
      </w:r>
    </w:p>
    <w:p w:rsidR="00215AA1" w:rsidRPr="001621FA" w:rsidRDefault="00215AA1" w:rsidP="001621FA">
      <w:pPr>
        <w:spacing w:line="276" w:lineRule="auto"/>
        <w:jc w:val="both"/>
        <w:rPr>
          <w:rFonts w:ascii="Times New Roman" w:hAnsi="Times New Roman" w:cs="Times New Roman"/>
          <w:color w:val="049494"/>
          <w:sz w:val="24"/>
          <w:szCs w:val="24"/>
          <w:lang w:val="bg"/>
        </w:rPr>
      </w:pPr>
    </w:p>
    <w:p w:rsidR="007906A8" w:rsidRDefault="007906A8" w:rsidP="00B01311">
      <w:pPr>
        <w:pStyle w:val="Heading3"/>
        <w:numPr>
          <w:ilvl w:val="2"/>
          <w:numId w:val="133"/>
        </w:numPr>
        <w:spacing w:line="276" w:lineRule="auto"/>
        <w:jc w:val="both"/>
        <w:rPr>
          <w:rFonts w:ascii="Times New Roman" w:hAnsi="Times New Roman" w:cs="Times New Roman"/>
          <w:color w:val="049494"/>
          <w:sz w:val="28"/>
          <w:szCs w:val="28"/>
          <w:lang w:val="bg"/>
        </w:rPr>
      </w:pPr>
      <w:bookmarkStart w:id="144" w:name="bookmark283"/>
      <w:bookmarkStart w:id="145" w:name="bookmark282"/>
      <w:bookmarkStart w:id="146" w:name="_Toc203141282"/>
      <w:r w:rsidRPr="001621FA">
        <w:rPr>
          <w:rFonts w:ascii="Times New Roman" w:hAnsi="Times New Roman" w:cs="Times New Roman"/>
          <w:color w:val="049494"/>
          <w:sz w:val="28"/>
          <w:szCs w:val="28"/>
          <w:lang w:val="bg"/>
        </w:rPr>
        <w:t>Проникване на интелигентното измерване в България</w:t>
      </w:r>
      <w:bookmarkEnd w:id="144"/>
      <w:bookmarkEnd w:id="145"/>
      <w:bookmarkEnd w:id="146"/>
    </w:p>
    <w:p w:rsidR="00082BFC" w:rsidRPr="00082BFC" w:rsidRDefault="00082BFC" w:rsidP="00082BFC">
      <w:pPr>
        <w:pStyle w:val="ListParagraph"/>
        <w:ind w:left="1080"/>
        <w:rPr>
          <w:lang w:val="bg"/>
        </w:rPr>
      </w:pPr>
    </w:p>
    <w:p w:rsidR="00215AA1" w:rsidRPr="00215AA1" w:rsidRDefault="00215AA1" w:rsidP="00215AA1">
      <w:pPr>
        <w:rPr>
          <w:lang w:val="bg"/>
        </w:rPr>
      </w:pP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 xml:space="preserve">Проникването на интелигентни измервателни уреди в България подлежи на изясняване. Въпреки че според различни източници степента на проникване на интелигентните измервателни уреди в България е едва 1%, установихме, че доста голяма част от старите измервателни уреди в България са заменени и много от използваните модели са в състояние </w:t>
      </w:r>
      <w:r w:rsidRPr="001621FA">
        <w:rPr>
          <w:rFonts w:ascii="Times New Roman" w:hAnsi="Times New Roman" w:cs="Times New Roman"/>
          <w:sz w:val="24"/>
          <w:szCs w:val="24"/>
          <w:lang w:val="bg"/>
        </w:rPr>
        <w:lastRenderedPageBreak/>
        <w:t>да записват динамични профили. Eurelectric поясни, че само 34 % от измервателните уреди в България имат функции</w:t>
      </w:r>
      <w:r w:rsidRPr="001621FA">
        <w:rPr>
          <w:rFonts w:ascii="Times New Roman" w:hAnsi="Times New Roman" w:cs="Times New Roman"/>
          <w:sz w:val="24"/>
          <w:szCs w:val="24"/>
          <w:lang w:val="bg-BG"/>
        </w:rPr>
        <w:t xml:space="preserve"> за дистанционно мерене</w:t>
      </w:r>
      <w:r w:rsidRPr="001621FA">
        <w:rPr>
          <w:rFonts w:ascii="Times New Roman" w:hAnsi="Times New Roman" w:cs="Times New Roman"/>
          <w:sz w:val="24"/>
          <w:szCs w:val="24"/>
          <w:lang w:val="bg"/>
        </w:rPr>
        <w:t>, но те не отговарят напълно на изискванията на ЕС за интелигентно измерване, тъй като няма определени местни изисквания и въвеждане. Въвеждането на интелигентни измервателни уреди не е задължително за домакинствата въпреки препоръките на ЕС и е възпрепятствано от регулаторни забавяния и опасения за разходите.</w:t>
      </w:r>
    </w:p>
    <w:p w:rsidR="007906A8"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Операторите на разпределителни системи отговарят за инсталирането, поддръжката и управлението на интелигентните измервателни уреди в съответствие с Правилника за измерване на електроенергията и Наредбата за присъединяване</w:t>
      </w:r>
      <w:r w:rsidR="001621FA" w:rsidRPr="001621FA">
        <w:rPr>
          <w:rFonts w:ascii="Times New Roman" w:hAnsi="Times New Roman" w:cs="Times New Roman"/>
          <w:sz w:val="24"/>
          <w:szCs w:val="24"/>
          <w:lang w:val="bg"/>
        </w:rPr>
        <w:t xml:space="preserve"> към електроенергийната мрежа (Н</w:t>
      </w:r>
      <w:r w:rsidRPr="001621FA">
        <w:rPr>
          <w:rFonts w:ascii="Times New Roman" w:hAnsi="Times New Roman" w:cs="Times New Roman"/>
          <w:sz w:val="24"/>
          <w:szCs w:val="24"/>
          <w:lang w:val="bg"/>
        </w:rPr>
        <w:t>аредба за присъединяване на производителите и потребителите към електропреносната мрежа и електроразпределителните мрежи). Липсата на ясен регулаторен мандат за внедряване на интелигентни измервателни уреди в национален мащаб обаче ограничава способността на потребителите и енергийните общности за достъп до данни за потреблението и производството в реално време.</w:t>
      </w:r>
    </w:p>
    <w:p w:rsidR="00215AA1" w:rsidRPr="001621FA" w:rsidRDefault="00215AA1" w:rsidP="001621FA">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33"/>
        </w:numPr>
        <w:spacing w:line="276" w:lineRule="auto"/>
        <w:jc w:val="both"/>
        <w:rPr>
          <w:rFonts w:ascii="Times New Roman" w:hAnsi="Times New Roman" w:cs="Times New Roman"/>
          <w:color w:val="049494"/>
          <w:sz w:val="28"/>
          <w:szCs w:val="28"/>
          <w:lang w:val="bg"/>
        </w:rPr>
      </w:pPr>
      <w:bookmarkStart w:id="147" w:name="bookmark286"/>
      <w:bookmarkStart w:id="148" w:name="bookmark285"/>
      <w:bookmarkStart w:id="149" w:name="_Toc203141283"/>
      <w:r w:rsidRPr="001621FA">
        <w:rPr>
          <w:rFonts w:ascii="Times New Roman" w:hAnsi="Times New Roman" w:cs="Times New Roman"/>
          <w:color w:val="049494"/>
          <w:sz w:val="28"/>
          <w:szCs w:val="28"/>
          <w:lang w:val="bg"/>
        </w:rPr>
        <w:t>Регулации за обмен на енергийни данни и достъп до тях</w:t>
      </w:r>
      <w:bookmarkEnd w:id="147"/>
      <w:bookmarkEnd w:id="148"/>
      <w:bookmarkEnd w:id="149"/>
    </w:p>
    <w:p w:rsidR="00215AA1" w:rsidRPr="00215AA1" w:rsidRDefault="00215AA1" w:rsidP="00215AA1">
      <w:pPr>
        <w:rPr>
          <w:lang w:val="bg"/>
        </w:rPr>
      </w:pP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Обменът на енергийни данни между участниците на пазара се урежда от Закона за енергетиката (3Е) и подзаконовите нормативни актове, издадени от КЕВР. Основните участници в обмена на данни включват:</w:t>
      </w:r>
    </w:p>
    <w:p w:rsidR="001621FA" w:rsidRDefault="007906A8" w:rsidP="00B01311">
      <w:pPr>
        <w:pStyle w:val="ListParagraph"/>
        <w:numPr>
          <w:ilvl w:val="0"/>
          <w:numId w:val="71"/>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Производители и произвеждащи потребители — от тях се изисква да предоставят данни за производството на операторите на разпределителни системи за целите на сетълмента.</w:t>
      </w:r>
    </w:p>
    <w:p w:rsidR="001621FA" w:rsidRDefault="007906A8" w:rsidP="00B01311">
      <w:pPr>
        <w:pStyle w:val="ListParagraph"/>
        <w:numPr>
          <w:ilvl w:val="0"/>
          <w:numId w:val="71"/>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 xml:space="preserve">ОРС — отговарят за събирането и проверката на данните от измерването, преди да ги предадат на </w:t>
      </w:r>
      <w:r w:rsidRPr="001621FA">
        <w:rPr>
          <w:rFonts w:ascii="Times New Roman" w:hAnsi="Times New Roman" w:cs="Times New Roman"/>
          <w:sz w:val="24"/>
          <w:szCs w:val="24"/>
          <w:lang w:val="bg-BG"/>
        </w:rPr>
        <w:t>ЕСО</w:t>
      </w:r>
      <w:r w:rsidRPr="001621FA">
        <w:rPr>
          <w:rFonts w:ascii="Times New Roman" w:hAnsi="Times New Roman" w:cs="Times New Roman"/>
          <w:sz w:val="24"/>
          <w:szCs w:val="24"/>
          <w:lang w:val="bg"/>
        </w:rPr>
        <w:t>, доставчиците и търговците.</w:t>
      </w:r>
    </w:p>
    <w:p w:rsidR="001621FA" w:rsidRDefault="007906A8" w:rsidP="00B01311">
      <w:pPr>
        <w:pStyle w:val="ListParagraph"/>
        <w:numPr>
          <w:ilvl w:val="0"/>
          <w:numId w:val="71"/>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Електроенергиен системен оператор (ЕСО) — управлява отговорностите за балансиране и изисква обобщени данни за производството и потреблението от операторите на разпределителни системи.</w:t>
      </w:r>
    </w:p>
    <w:p w:rsidR="001621FA" w:rsidRDefault="007906A8" w:rsidP="00B01311">
      <w:pPr>
        <w:pStyle w:val="ListParagraph"/>
        <w:numPr>
          <w:ilvl w:val="0"/>
          <w:numId w:val="71"/>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Търговците и доставчиците — изискват достъп до данните от измерването на потреблението за целите на фактурирането и търговията на пазара.</w:t>
      </w:r>
    </w:p>
    <w:p w:rsidR="007906A8" w:rsidRPr="001621FA" w:rsidRDefault="007906A8" w:rsidP="00B01311">
      <w:pPr>
        <w:pStyle w:val="ListParagraph"/>
        <w:numPr>
          <w:ilvl w:val="0"/>
          <w:numId w:val="71"/>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Потребителите — понастоящем имат ограничен достъп до данни в реално време, тъй като интелигентните измервателни уреди не са широко разпространени, а обменът на данни е ограничен.</w:t>
      </w: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Понастоящем няма правни разпоредби, които да позволяват на енергийните общности или на трети страни пряк достъп до данните от измерването от операторите на разпределителни системи в реално време. Достъпът до данните се контролира съгласно Закона за защита на личните данни (ЗЗЛД), ограничаващ споделянето без изрично съгласие на потребителя. Това ограничава способността на енергийните общности да оптимизират собственото потребление, да прилагат колективно фактуриране или да разработват споразумения за VNM.</w:t>
      </w: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За да се даде възможност за ефективно споделяне на енергия и участие на енергийните общности на пазара, България се нуждае от:</w:t>
      </w:r>
    </w:p>
    <w:p w:rsidR="001621FA" w:rsidRDefault="007906A8" w:rsidP="00B01311">
      <w:pPr>
        <w:pStyle w:val="ListParagraph"/>
        <w:numPr>
          <w:ilvl w:val="0"/>
          <w:numId w:val="72"/>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lastRenderedPageBreak/>
        <w:t>Национален план за въвеждане на интелигентно отчитане, който да гарантира, че всички произвеждащи потребители имат детайлно динамично отчитане на профила в края на всеки период (понастоящем определен на един месец) и в бъдеще в идеалния случай да се стремят към видимост на производството и потреблението в реално време.</w:t>
      </w:r>
    </w:p>
    <w:p w:rsidR="001621FA" w:rsidRDefault="007906A8" w:rsidP="00B01311">
      <w:pPr>
        <w:pStyle w:val="ListParagraph"/>
        <w:numPr>
          <w:ilvl w:val="0"/>
          <w:numId w:val="72"/>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Регулаторни промени, за да се даде възможност на енергийните общности да имат достъп до данните от измерването, със стандартизирани цифрови интерфейси за обмен на данни и регулиран достъп до данните на трети страни (като търговци на енергия и доставчици на агрегирани услуги).</w:t>
      </w:r>
    </w:p>
    <w:p w:rsidR="007906A8" w:rsidRDefault="007906A8" w:rsidP="00B01311">
      <w:pPr>
        <w:pStyle w:val="ListParagraph"/>
        <w:numPr>
          <w:ilvl w:val="0"/>
          <w:numId w:val="72"/>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Ясни правила за VNM и виртуално фактуриране, които позволяват производството да се отчита в множество точки на потребление.</w:t>
      </w:r>
    </w:p>
    <w:p w:rsidR="00215AA1" w:rsidRPr="001621FA" w:rsidRDefault="00215AA1" w:rsidP="00215AA1">
      <w:pPr>
        <w:pStyle w:val="ListParagraph"/>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33"/>
        </w:numPr>
        <w:spacing w:line="276" w:lineRule="auto"/>
        <w:jc w:val="both"/>
        <w:rPr>
          <w:rFonts w:ascii="Times New Roman" w:hAnsi="Times New Roman" w:cs="Times New Roman"/>
          <w:color w:val="049494"/>
          <w:sz w:val="28"/>
          <w:szCs w:val="28"/>
          <w:lang w:val="bg"/>
        </w:rPr>
      </w:pPr>
      <w:bookmarkStart w:id="150" w:name="bookmark289"/>
      <w:bookmarkStart w:id="151" w:name="bookmark288"/>
      <w:bookmarkStart w:id="152" w:name="_Toc203141284"/>
      <w:r w:rsidRPr="001621FA">
        <w:rPr>
          <w:rFonts w:ascii="Times New Roman" w:hAnsi="Times New Roman" w:cs="Times New Roman"/>
          <w:color w:val="049494"/>
          <w:sz w:val="28"/>
          <w:szCs w:val="28"/>
          <w:lang w:val="bg"/>
        </w:rPr>
        <w:t>Предложение за използване на интелигентни измервателни уреди и динамично ценообразуване в Българи</w:t>
      </w:r>
      <w:bookmarkEnd w:id="150"/>
      <w:bookmarkEnd w:id="151"/>
      <w:r w:rsidR="00082BFC">
        <w:rPr>
          <w:rFonts w:ascii="Times New Roman" w:hAnsi="Times New Roman" w:cs="Times New Roman"/>
          <w:color w:val="049494"/>
          <w:sz w:val="28"/>
          <w:szCs w:val="28"/>
          <w:lang w:val="bg"/>
        </w:rPr>
        <w:t>я</w:t>
      </w:r>
      <w:bookmarkEnd w:id="152"/>
    </w:p>
    <w:p w:rsidR="00215AA1" w:rsidRPr="00215AA1" w:rsidRDefault="00215AA1" w:rsidP="00215AA1">
      <w:pPr>
        <w:rPr>
          <w:lang w:val="bg"/>
        </w:rPr>
      </w:pP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ОРС в България вече са инсталирали интелигентни измервателни уреди за много потребители, но пълната им функционалност остава недостатъчно използвана. Понастоящем данните от измерването се събират само веднъж месечно, докато съществуващите интелигентни измервателни уреди могат технически да записват потреблението на енергия на часови или дори 15-минутни интервали. Тези измервателни уреди обаче не предават данни в реално време, което ограничава използването им за динамично ценообразуване и гъвкавост на търсенето.</w:t>
      </w: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Един от начините да се заобиколи това ограничение е да се въведе пазарен механизъм, при който търговците на енергия подават ценови сигнали на потребителите или ден напред, или в реално време. Това ще позволи на домакинствата и предприятията да коригират моделите си на потребление в отговор на цените на електроенергията, като оптимизират собственото потребление и ефективността на мрежата.</w:t>
      </w:r>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Вместо да се изисква предаване на данни в реално</w:t>
      </w:r>
      <w:r w:rsidR="001621FA" w:rsidRPr="001621FA">
        <w:rPr>
          <w:rFonts w:ascii="Times New Roman" w:hAnsi="Times New Roman" w:cs="Times New Roman"/>
          <w:sz w:val="24"/>
          <w:szCs w:val="24"/>
          <w:lang w:val="bg"/>
        </w:rPr>
        <w:t xml:space="preserve"> време, моделите на потребление</w:t>
      </w:r>
      <w:r w:rsidR="001621FA" w:rsidRPr="001621FA">
        <w:rPr>
          <w:rFonts w:ascii="Times New Roman" w:hAnsi="Times New Roman" w:cs="Times New Roman"/>
          <w:sz w:val="24"/>
          <w:szCs w:val="24"/>
        </w:rPr>
        <w:t xml:space="preserve"> </w:t>
      </w:r>
      <w:r w:rsidRPr="001621FA">
        <w:rPr>
          <w:rFonts w:ascii="Times New Roman" w:hAnsi="Times New Roman" w:cs="Times New Roman"/>
          <w:sz w:val="24"/>
          <w:szCs w:val="24"/>
          <w:lang w:val="bg"/>
        </w:rPr>
        <w:t>ще бъдат регистрирани от интелигентните измервателни уреди и помирени в края на месеца</w:t>
      </w:r>
      <w:r w:rsidRPr="001621FA">
        <w:rPr>
          <w:rFonts w:ascii="Times New Roman" w:hAnsi="Times New Roman" w:cs="Times New Roman"/>
          <w:sz w:val="24"/>
          <w:szCs w:val="24"/>
          <w:lang w:val="bg-BG"/>
        </w:rPr>
        <w:t>.</w:t>
      </w:r>
      <w:r w:rsidRPr="001621FA">
        <w:rPr>
          <w:rFonts w:ascii="Times New Roman" w:hAnsi="Times New Roman" w:cs="Times New Roman"/>
          <w:i/>
          <w:iCs/>
          <w:sz w:val="24"/>
          <w:szCs w:val="24"/>
          <w:u w:val="single"/>
          <w:lang w:val="bg"/>
        </w:rPr>
        <w:t xml:space="preserve"> </w:t>
      </w:r>
      <w:r w:rsidRPr="001621FA">
        <w:rPr>
          <w:rFonts w:ascii="Times New Roman" w:hAnsi="Times New Roman" w:cs="Times New Roman"/>
          <w:sz w:val="24"/>
          <w:szCs w:val="24"/>
          <w:lang w:val="bg"/>
        </w:rPr>
        <w:t>Окончателното фактуриране все пак ще отразява кривата на действителното потребление на потребителя, но ще бъде структурирана около ценови сигнали, получени по-рано, като се гарантира ефективен и прозрачен процес.</w:t>
      </w:r>
    </w:p>
    <w:p w:rsidR="007906A8" w:rsidRPr="001621FA" w:rsidRDefault="007906A8" w:rsidP="001621FA">
      <w:pPr>
        <w:spacing w:line="276" w:lineRule="auto"/>
        <w:jc w:val="both"/>
        <w:rPr>
          <w:rFonts w:ascii="Times New Roman" w:hAnsi="Times New Roman" w:cs="Times New Roman"/>
          <w:color w:val="049494"/>
          <w:sz w:val="24"/>
          <w:szCs w:val="24"/>
          <w:lang w:val="bg"/>
        </w:rPr>
      </w:pPr>
      <w:bookmarkStart w:id="153" w:name="bookmark291"/>
      <w:r w:rsidRPr="001621FA">
        <w:rPr>
          <w:rFonts w:ascii="Times New Roman" w:hAnsi="Times New Roman" w:cs="Times New Roman"/>
          <w:color w:val="049494"/>
          <w:sz w:val="24"/>
          <w:szCs w:val="24"/>
          <w:lang w:val="bg"/>
        </w:rPr>
        <w:t>Изисквания за събиране на данни</w:t>
      </w:r>
      <w:bookmarkEnd w:id="153"/>
    </w:p>
    <w:p w:rsidR="007906A8" w:rsidRPr="001621FA" w:rsidRDefault="007906A8" w:rsidP="001621FA">
      <w:p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За прилагането на тази система ще трябва да се събират и обработват следните видове данни:</w:t>
      </w:r>
    </w:p>
    <w:p w:rsidR="007906A8" w:rsidRDefault="007906A8" w:rsidP="00B01311">
      <w:pPr>
        <w:pStyle w:val="ListParagraph"/>
        <w:numPr>
          <w:ilvl w:val="0"/>
          <w:numId w:val="73"/>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Данни за потреблението от интелигентни измервателни уреди:</w:t>
      </w:r>
    </w:p>
    <w:p w:rsidR="00082BFC" w:rsidRPr="001621FA" w:rsidRDefault="00082BFC" w:rsidP="00082BFC">
      <w:pPr>
        <w:pStyle w:val="ListParagraph"/>
        <w:spacing w:line="276" w:lineRule="auto"/>
        <w:jc w:val="both"/>
        <w:rPr>
          <w:rFonts w:ascii="Times New Roman" w:hAnsi="Times New Roman" w:cs="Times New Roman"/>
          <w:sz w:val="24"/>
          <w:szCs w:val="24"/>
          <w:lang w:val="bg"/>
        </w:rPr>
      </w:pPr>
    </w:p>
    <w:p w:rsidR="001621FA" w:rsidRDefault="007906A8" w:rsidP="00B01311">
      <w:pPr>
        <w:pStyle w:val="ListParagraph"/>
        <w:numPr>
          <w:ilvl w:val="0"/>
          <w:numId w:val="74"/>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Почасови или 15-минутни записи за потреблението (съхранявани от интелигентния измервателен уред).</w:t>
      </w:r>
    </w:p>
    <w:p w:rsidR="001621FA" w:rsidRDefault="007906A8" w:rsidP="00B01311">
      <w:pPr>
        <w:pStyle w:val="ListParagraph"/>
        <w:numPr>
          <w:ilvl w:val="0"/>
          <w:numId w:val="74"/>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Общо месечно потребление + динамичен профил - събира се от ОРС и се използва за крайно фактуриране от търговеца. Това се предоставя чрез онлайн платформа, достъпна за клиента и трета страна, чието право е предоставено от клиента.</w:t>
      </w:r>
    </w:p>
    <w:p w:rsidR="007906A8" w:rsidRPr="001621FA" w:rsidRDefault="007906A8" w:rsidP="00B01311">
      <w:pPr>
        <w:pStyle w:val="ListParagraph"/>
        <w:numPr>
          <w:ilvl w:val="0"/>
          <w:numId w:val="74"/>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lastRenderedPageBreak/>
        <w:t xml:space="preserve">Изискването </w:t>
      </w:r>
      <w:r w:rsidRPr="001621FA">
        <w:rPr>
          <w:rFonts w:ascii="Times New Roman" w:hAnsi="Times New Roman" w:cs="Times New Roman"/>
          <w:b/>
          <w:bCs/>
          <w:sz w:val="24"/>
          <w:szCs w:val="24"/>
          <w:lang w:val="bg"/>
        </w:rPr>
        <w:t xml:space="preserve">за предоставяне на потребителите на данни от измерването най-малко през последните 13 месеца </w:t>
      </w:r>
      <w:r w:rsidRPr="001621FA">
        <w:rPr>
          <w:rFonts w:ascii="Times New Roman" w:hAnsi="Times New Roman" w:cs="Times New Roman"/>
          <w:sz w:val="24"/>
          <w:szCs w:val="24"/>
          <w:lang w:val="bg"/>
        </w:rPr>
        <w:t xml:space="preserve">произтича от </w:t>
      </w:r>
      <w:r w:rsidRPr="001621FA">
        <w:rPr>
          <w:rFonts w:ascii="Times New Roman" w:hAnsi="Times New Roman" w:cs="Times New Roman"/>
          <w:b/>
          <w:bCs/>
          <w:sz w:val="24"/>
          <w:szCs w:val="24"/>
          <w:lang w:val="bg"/>
        </w:rPr>
        <w:t xml:space="preserve">Препоръка 2012/148/ЕС на Европейската комисия </w:t>
      </w:r>
      <w:r w:rsidRPr="001621FA">
        <w:rPr>
          <w:rFonts w:ascii="Times New Roman" w:hAnsi="Times New Roman" w:cs="Times New Roman"/>
          <w:sz w:val="24"/>
          <w:szCs w:val="24"/>
          <w:lang w:val="bg"/>
        </w:rPr>
        <w:t>относно подготовката за въвеждането на интелигентни измервателни системи.</w:t>
      </w:r>
    </w:p>
    <w:p w:rsidR="007906A8" w:rsidRPr="001621FA" w:rsidRDefault="007906A8" w:rsidP="00B01311">
      <w:pPr>
        <w:pStyle w:val="ListParagraph"/>
        <w:numPr>
          <w:ilvl w:val="0"/>
          <w:numId w:val="73"/>
        </w:numPr>
        <w:spacing w:line="276" w:lineRule="auto"/>
        <w:jc w:val="both"/>
        <w:rPr>
          <w:rFonts w:ascii="Times New Roman" w:hAnsi="Times New Roman" w:cs="Times New Roman"/>
          <w:sz w:val="24"/>
          <w:szCs w:val="24"/>
          <w:lang w:val="bg"/>
        </w:rPr>
      </w:pPr>
      <w:r w:rsidRPr="001621FA">
        <w:rPr>
          <w:rFonts w:ascii="Times New Roman" w:hAnsi="Times New Roman" w:cs="Times New Roman"/>
          <w:sz w:val="24"/>
          <w:szCs w:val="24"/>
          <w:lang w:val="bg"/>
        </w:rPr>
        <w:t>Ценови сигнали от търговци на енергия (чрез платформа с потребителски интерфейс — например приложение):</w:t>
      </w:r>
    </w:p>
    <w:p w:rsidR="001621FA" w:rsidRDefault="007906A8" w:rsidP="00B01311">
      <w:pPr>
        <w:pStyle w:val="ListParagraph"/>
        <w:numPr>
          <w:ilvl w:val="0"/>
          <w:numId w:val="75"/>
        </w:numPr>
        <w:rPr>
          <w:rFonts w:ascii="Times New Roman" w:hAnsi="Times New Roman" w:cs="Times New Roman"/>
          <w:sz w:val="24"/>
          <w:szCs w:val="24"/>
          <w:lang w:val="bg"/>
        </w:rPr>
      </w:pPr>
      <w:r w:rsidRPr="001621FA">
        <w:rPr>
          <w:rFonts w:ascii="Times New Roman" w:hAnsi="Times New Roman" w:cs="Times New Roman"/>
          <w:sz w:val="24"/>
          <w:szCs w:val="24"/>
          <w:lang w:val="bg"/>
        </w:rPr>
        <w:t>Актуализации на цените на електроенергията за ден напред или в реално време.</w:t>
      </w:r>
    </w:p>
    <w:p w:rsidR="001621FA" w:rsidRDefault="007906A8" w:rsidP="00B01311">
      <w:pPr>
        <w:pStyle w:val="ListParagraph"/>
        <w:numPr>
          <w:ilvl w:val="0"/>
          <w:numId w:val="75"/>
        </w:numPr>
        <w:rPr>
          <w:rFonts w:ascii="Times New Roman" w:hAnsi="Times New Roman" w:cs="Times New Roman"/>
          <w:sz w:val="24"/>
          <w:szCs w:val="24"/>
          <w:lang w:val="bg"/>
        </w:rPr>
      </w:pPr>
      <w:r w:rsidRPr="001621FA">
        <w:rPr>
          <w:rFonts w:ascii="Times New Roman" w:hAnsi="Times New Roman" w:cs="Times New Roman"/>
          <w:sz w:val="24"/>
          <w:szCs w:val="24"/>
          <w:lang w:val="bg"/>
        </w:rPr>
        <w:t>Тарифната структура се прилага за отделни потребители или групи потребители.</w:t>
      </w:r>
    </w:p>
    <w:p w:rsidR="007906A8" w:rsidRPr="001621FA" w:rsidRDefault="007906A8" w:rsidP="00B01311">
      <w:pPr>
        <w:pStyle w:val="ListParagraph"/>
        <w:numPr>
          <w:ilvl w:val="0"/>
          <w:numId w:val="75"/>
        </w:numPr>
        <w:rPr>
          <w:rFonts w:ascii="Times New Roman" w:hAnsi="Times New Roman" w:cs="Times New Roman"/>
          <w:sz w:val="24"/>
          <w:szCs w:val="24"/>
          <w:lang w:val="bg"/>
        </w:rPr>
      </w:pPr>
      <w:r w:rsidRPr="001621FA">
        <w:rPr>
          <w:rFonts w:ascii="Times New Roman" w:hAnsi="Times New Roman" w:cs="Times New Roman"/>
          <w:sz w:val="24"/>
          <w:szCs w:val="24"/>
          <w:lang w:val="bg"/>
        </w:rPr>
        <w:t>Платформата за данни на търговците на енергия следва да бъде съвместима с друго приложение за интелигентни електроенергийни мрежи, което може да се използва от клиентите.</w:t>
      </w:r>
    </w:p>
    <w:p w:rsidR="007906A8" w:rsidRPr="001621FA" w:rsidRDefault="007906A8" w:rsidP="00B01311">
      <w:pPr>
        <w:pStyle w:val="ListParagraph"/>
        <w:numPr>
          <w:ilvl w:val="0"/>
          <w:numId w:val="73"/>
        </w:numPr>
        <w:rPr>
          <w:rFonts w:ascii="Times New Roman" w:hAnsi="Times New Roman" w:cs="Times New Roman"/>
          <w:sz w:val="24"/>
          <w:szCs w:val="24"/>
          <w:lang w:val="bg"/>
        </w:rPr>
      </w:pPr>
      <w:r w:rsidRPr="001621FA">
        <w:rPr>
          <w:rFonts w:ascii="Times New Roman" w:hAnsi="Times New Roman" w:cs="Times New Roman"/>
          <w:sz w:val="24"/>
          <w:szCs w:val="24"/>
          <w:lang w:val="bg"/>
        </w:rPr>
        <w:t>Данни за поведението на потребителите (незадължително, за целите на оптимизацията):</w:t>
      </w:r>
    </w:p>
    <w:p w:rsidR="00293943" w:rsidRPr="00293943" w:rsidRDefault="007906A8" w:rsidP="00B01311">
      <w:pPr>
        <w:pStyle w:val="ListParagraph"/>
        <w:numPr>
          <w:ilvl w:val="0"/>
          <w:numId w:val="76"/>
        </w:numPr>
        <w:spacing w:line="276" w:lineRule="auto"/>
        <w:jc w:val="both"/>
        <w:rPr>
          <w:rFonts w:ascii="Times New Roman" w:hAnsi="Times New Roman" w:cs="Times New Roman"/>
          <w:sz w:val="24"/>
          <w:szCs w:val="24"/>
          <w:lang w:val="bg"/>
        </w:rPr>
      </w:pPr>
      <w:r w:rsidRPr="00293943">
        <w:rPr>
          <w:rFonts w:ascii="Times New Roman" w:hAnsi="Times New Roman" w:cs="Times New Roman"/>
          <w:sz w:val="24"/>
          <w:szCs w:val="24"/>
          <w:lang w:val="bg"/>
        </w:rPr>
        <w:t>Самоопределени или автоматизирани модели на използване на уредите (напр. настройване на пералните машини или отоплителните системи да работят, когато електроенергията е най-евтина).</w:t>
      </w:r>
    </w:p>
    <w:p w:rsidR="007906A8" w:rsidRPr="00293943" w:rsidRDefault="007906A8" w:rsidP="00B01311">
      <w:pPr>
        <w:pStyle w:val="ListParagraph"/>
        <w:numPr>
          <w:ilvl w:val="0"/>
          <w:numId w:val="76"/>
        </w:numPr>
        <w:spacing w:line="276" w:lineRule="auto"/>
        <w:jc w:val="both"/>
        <w:rPr>
          <w:rFonts w:ascii="Times New Roman" w:hAnsi="Times New Roman" w:cs="Times New Roman"/>
          <w:sz w:val="24"/>
          <w:szCs w:val="24"/>
          <w:lang w:val="bg"/>
        </w:rPr>
      </w:pPr>
      <w:r w:rsidRPr="00293943">
        <w:rPr>
          <w:rFonts w:ascii="Times New Roman" w:hAnsi="Times New Roman" w:cs="Times New Roman"/>
          <w:sz w:val="24"/>
          <w:szCs w:val="24"/>
          <w:lang w:val="bg"/>
        </w:rPr>
        <w:t>Акумулиране на енергия или поведение при зареждане на електрически превозни средства, ако е приложимо.</w:t>
      </w:r>
    </w:p>
    <w:p w:rsidR="007906A8" w:rsidRPr="00293943" w:rsidRDefault="007906A8" w:rsidP="00293943">
      <w:pPr>
        <w:spacing w:line="276" w:lineRule="auto"/>
        <w:jc w:val="both"/>
        <w:rPr>
          <w:rFonts w:ascii="Times New Roman" w:hAnsi="Times New Roman" w:cs="Times New Roman"/>
          <w:sz w:val="24"/>
          <w:szCs w:val="24"/>
          <w:lang w:val="bg"/>
        </w:rPr>
      </w:pPr>
      <w:r w:rsidRPr="00293943">
        <w:rPr>
          <w:rFonts w:ascii="Times New Roman" w:hAnsi="Times New Roman" w:cs="Times New Roman"/>
          <w:sz w:val="24"/>
          <w:szCs w:val="24"/>
          <w:lang w:val="bg"/>
        </w:rPr>
        <w:t>В края на месеца записаните данни от интелигентните измервателни уреди ще бъдат сравнени с получените ценови сигнали за изч</w:t>
      </w:r>
      <w:r w:rsidR="00F015E5">
        <w:rPr>
          <w:rFonts w:ascii="Times New Roman" w:hAnsi="Times New Roman" w:cs="Times New Roman"/>
          <w:sz w:val="24"/>
          <w:szCs w:val="24"/>
          <w:lang w:val="bg"/>
        </w:rPr>
        <w:t>исляване на крайната сметка въз</w:t>
      </w:r>
      <w:r w:rsidRPr="00293943">
        <w:rPr>
          <w:rFonts w:ascii="Times New Roman" w:hAnsi="Times New Roman" w:cs="Times New Roman"/>
          <w:sz w:val="24"/>
          <w:szCs w:val="24"/>
          <w:lang w:val="bg"/>
        </w:rPr>
        <w:t>основа на действителните модели на потребление, а не само на общото месечно потребление.</w:t>
      </w:r>
    </w:p>
    <w:p w:rsidR="007906A8" w:rsidRPr="00293943" w:rsidRDefault="007906A8" w:rsidP="00293943">
      <w:pPr>
        <w:spacing w:line="276" w:lineRule="auto"/>
        <w:jc w:val="both"/>
        <w:rPr>
          <w:rFonts w:ascii="Times New Roman" w:hAnsi="Times New Roman" w:cs="Times New Roman"/>
          <w:color w:val="049494"/>
          <w:sz w:val="24"/>
          <w:szCs w:val="24"/>
          <w:lang w:val="bg"/>
        </w:rPr>
      </w:pPr>
      <w:bookmarkStart w:id="154" w:name="bookmark293"/>
      <w:r w:rsidRPr="00293943">
        <w:rPr>
          <w:rFonts w:ascii="Times New Roman" w:hAnsi="Times New Roman" w:cs="Times New Roman"/>
          <w:color w:val="049494"/>
          <w:sz w:val="24"/>
          <w:szCs w:val="24"/>
          <w:lang w:val="bg"/>
        </w:rPr>
        <w:t>Правна рамка и рамка за защита на данните</w:t>
      </w:r>
      <w:bookmarkEnd w:id="154"/>
    </w:p>
    <w:p w:rsidR="007906A8" w:rsidRPr="00293943" w:rsidRDefault="007906A8" w:rsidP="00293943">
      <w:pPr>
        <w:spacing w:line="276" w:lineRule="auto"/>
        <w:jc w:val="both"/>
        <w:rPr>
          <w:rFonts w:ascii="Times New Roman" w:hAnsi="Times New Roman" w:cs="Times New Roman"/>
          <w:sz w:val="24"/>
          <w:szCs w:val="24"/>
          <w:lang w:val="bg"/>
        </w:rPr>
      </w:pPr>
      <w:r w:rsidRPr="00293943">
        <w:rPr>
          <w:rFonts w:ascii="Times New Roman" w:hAnsi="Times New Roman" w:cs="Times New Roman"/>
          <w:sz w:val="24"/>
          <w:szCs w:val="24"/>
          <w:lang w:val="bg"/>
        </w:rPr>
        <w:t>За да може тази система да бъде законно въведена в България, като същевременно се гарантира защитата на данните и спазването на сигурността, са необходими няколко ключови правни изменения и регулаторни одобрения.</w:t>
      </w:r>
    </w:p>
    <w:p w:rsidR="007906A8" w:rsidRPr="00265D7E" w:rsidRDefault="007906A8" w:rsidP="00B01311">
      <w:pPr>
        <w:pStyle w:val="ListParagraph"/>
        <w:numPr>
          <w:ilvl w:val="0"/>
          <w:numId w:val="77"/>
        </w:numPr>
        <w:spacing w:line="276" w:lineRule="auto"/>
        <w:jc w:val="both"/>
        <w:rPr>
          <w:rFonts w:ascii="Times New Roman" w:hAnsi="Times New Roman" w:cs="Times New Roman"/>
          <w:b/>
          <w:sz w:val="24"/>
          <w:szCs w:val="24"/>
          <w:lang w:val="bg"/>
        </w:rPr>
      </w:pPr>
      <w:r w:rsidRPr="00265D7E">
        <w:rPr>
          <w:rFonts w:ascii="Times New Roman" w:hAnsi="Times New Roman" w:cs="Times New Roman"/>
          <w:b/>
          <w:sz w:val="24"/>
          <w:szCs w:val="24"/>
          <w:lang w:val="bg"/>
        </w:rPr>
        <w:t xml:space="preserve">Привеждане в съответствие със Закона за защита на личните данни (ЗЗЛД) и </w:t>
      </w:r>
      <w:r w:rsidRPr="00265D7E">
        <w:rPr>
          <w:rFonts w:ascii="Times New Roman" w:hAnsi="Times New Roman" w:cs="Times New Roman"/>
          <w:b/>
          <w:sz w:val="24"/>
          <w:szCs w:val="24"/>
        </w:rPr>
        <w:t>GDPR</w:t>
      </w:r>
      <w:r w:rsidRPr="00265D7E">
        <w:rPr>
          <w:rFonts w:ascii="Times New Roman" w:hAnsi="Times New Roman" w:cs="Times New Roman"/>
          <w:b/>
          <w:sz w:val="24"/>
          <w:szCs w:val="24"/>
          <w:lang w:val="bg"/>
        </w:rPr>
        <w:t>:</w:t>
      </w:r>
    </w:p>
    <w:p w:rsidR="00265D7E" w:rsidRDefault="007906A8" w:rsidP="00B01311">
      <w:pPr>
        <w:pStyle w:val="ListParagraph"/>
        <w:numPr>
          <w:ilvl w:val="0"/>
          <w:numId w:val="78"/>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Данните за потреблението на електроенергия се считат за лични данни, когато са свързани с физически лица.</w:t>
      </w:r>
    </w:p>
    <w:p w:rsidR="00265D7E" w:rsidRDefault="007906A8" w:rsidP="00B01311">
      <w:pPr>
        <w:pStyle w:val="ListParagraph"/>
        <w:numPr>
          <w:ilvl w:val="0"/>
          <w:numId w:val="78"/>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Потребителите трябва да дадат изричното си съгласие данните им да бъдат използвани за целите на динамичното фактуриране и оптимизацията на потреблението и да бъдат разкривани на трети страни.</w:t>
      </w:r>
    </w:p>
    <w:p w:rsidR="007906A8" w:rsidRPr="00265D7E" w:rsidRDefault="007906A8" w:rsidP="00B01311">
      <w:pPr>
        <w:pStyle w:val="ListParagraph"/>
        <w:numPr>
          <w:ilvl w:val="0"/>
          <w:numId w:val="78"/>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Трябва да се прилагат принципите за свеждане на данните до минимум, като се гарантира, че се събират и обработват само необходимите данни за потреблението.</w:t>
      </w:r>
    </w:p>
    <w:p w:rsidR="007906A8" w:rsidRPr="00265D7E" w:rsidRDefault="007906A8" w:rsidP="00B01311">
      <w:pPr>
        <w:pStyle w:val="ListParagraph"/>
        <w:numPr>
          <w:ilvl w:val="0"/>
          <w:numId w:val="77"/>
        </w:numPr>
        <w:rPr>
          <w:rFonts w:ascii="Times New Roman" w:hAnsi="Times New Roman" w:cs="Times New Roman"/>
          <w:sz w:val="24"/>
          <w:szCs w:val="24"/>
          <w:lang w:val="bg"/>
        </w:rPr>
      </w:pPr>
      <w:r w:rsidRPr="00265D7E">
        <w:rPr>
          <w:rFonts w:ascii="Times New Roman" w:hAnsi="Times New Roman" w:cs="Times New Roman"/>
          <w:b/>
          <w:sz w:val="24"/>
          <w:szCs w:val="24"/>
          <w:lang w:val="bg"/>
        </w:rPr>
        <w:t>Одобрение от КЕВР</w:t>
      </w:r>
      <w:r w:rsidRPr="00265D7E">
        <w:rPr>
          <w:rFonts w:ascii="Times New Roman" w:hAnsi="Times New Roman" w:cs="Times New Roman"/>
          <w:sz w:val="24"/>
          <w:szCs w:val="24"/>
          <w:lang w:val="bg"/>
        </w:rPr>
        <w:t>:</w:t>
      </w:r>
    </w:p>
    <w:p w:rsidR="00265D7E" w:rsidRDefault="007906A8" w:rsidP="00B01311">
      <w:pPr>
        <w:pStyle w:val="ListParagraph"/>
        <w:numPr>
          <w:ilvl w:val="0"/>
          <w:numId w:val="79"/>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Трябва да бъдат определени правила за разкриване на данни от интелигентни измервателни уреди, като се гарантира, че само обобщени или анонимизирани данни се споделят със съответните органи за целите на планирането и статистиката</w:t>
      </w:r>
    </w:p>
    <w:p w:rsidR="00265D7E" w:rsidRDefault="007906A8" w:rsidP="00B01311">
      <w:pPr>
        <w:pStyle w:val="ListParagraph"/>
        <w:numPr>
          <w:ilvl w:val="0"/>
          <w:numId w:val="79"/>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Търговците на енергия трябва да бъдат упълномощени да изпращат ценови сигнали и да имат достъп до почасови или 15-минутни данни от интелигентни измервателни уреди, но само за целите на фактурирането и прогнозирането.</w:t>
      </w:r>
    </w:p>
    <w:p w:rsidR="007906A8" w:rsidRPr="00265D7E" w:rsidRDefault="007906A8" w:rsidP="00B01311">
      <w:pPr>
        <w:pStyle w:val="ListParagraph"/>
        <w:numPr>
          <w:ilvl w:val="0"/>
          <w:numId w:val="79"/>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lastRenderedPageBreak/>
        <w:t>КЕВР трябва да разработи правила, които позволяват проектирането на определени услуги и възможности за гъвкавост — например условия и съгласие, при които доставчиците на агрегирани услуги могат да организират потреблението на малки потребители, като например домакинства; както и условията, при които търговците/ОРС могат да прилагат наказателни такси в случаи на голямо потребление по време на периоди на върхово потребление.</w:t>
      </w:r>
    </w:p>
    <w:p w:rsidR="00265D7E" w:rsidRPr="00265D7E" w:rsidRDefault="007906A8" w:rsidP="00B01311">
      <w:pPr>
        <w:pStyle w:val="ListParagraph"/>
        <w:numPr>
          <w:ilvl w:val="0"/>
          <w:numId w:val="77"/>
        </w:numPr>
        <w:spacing w:line="276" w:lineRule="auto"/>
        <w:jc w:val="both"/>
        <w:rPr>
          <w:rFonts w:ascii="Times New Roman" w:hAnsi="Times New Roman" w:cs="Times New Roman"/>
          <w:b/>
          <w:sz w:val="24"/>
          <w:szCs w:val="24"/>
          <w:lang w:val="bg"/>
        </w:rPr>
      </w:pPr>
      <w:r w:rsidRPr="00265D7E">
        <w:rPr>
          <w:rFonts w:ascii="Times New Roman" w:hAnsi="Times New Roman" w:cs="Times New Roman"/>
          <w:b/>
          <w:sz w:val="24"/>
          <w:szCs w:val="24"/>
          <w:lang w:val="bg"/>
        </w:rPr>
        <w:t>Координация с операторите на разпределителни системи и операторите на преносни системи:</w:t>
      </w:r>
    </w:p>
    <w:p w:rsidR="00265D7E" w:rsidRDefault="007906A8" w:rsidP="00B01311">
      <w:pPr>
        <w:pStyle w:val="ListParagraph"/>
        <w:numPr>
          <w:ilvl w:val="0"/>
          <w:numId w:val="80"/>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Операторите на разпределителни системи трябва да позволяват програмирането на интелигентни измервателни уреди да записва почасови или 15-минутни интервали, дори ако данните се събират само ежемесечно.</w:t>
      </w:r>
    </w:p>
    <w:p w:rsidR="007906A8" w:rsidRPr="00265D7E" w:rsidRDefault="007906A8" w:rsidP="00B01311">
      <w:pPr>
        <w:pStyle w:val="ListParagraph"/>
        <w:numPr>
          <w:ilvl w:val="0"/>
          <w:numId w:val="80"/>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ОПС трябва да гарантират стабилността на мрежата и да наблюдават как динамичните модели на потребление влияят върху балансирането и претоварването на мрежата и трябва да планират потенциалната необходимост от евакуация на енергия от определени региони в случаите, когато производството на енергия е отделено от местоположението на потреблението на енергия.</w:t>
      </w:r>
    </w:p>
    <w:p w:rsidR="007906A8" w:rsidRPr="00265D7E" w:rsidRDefault="007906A8" w:rsidP="00B01311">
      <w:pPr>
        <w:pStyle w:val="ListParagraph"/>
        <w:numPr>
          <w:ilvl w:val="0"/>
          <w:numId w:val="77"/>
        </w:numPr>
        <w:spacing w:line="276" w:lineRule="auto"/>
        <w:jc w:val="both"/>
        <w:rPr>
          <w:rFonts w:ascii="Times New Roman" w:hAnsi="Times New Roman" w:cs="Times New Roman"/>
          <w:b/>
          <w:sz w:val="24"/>
          <w:szCs w:val="24"/>
          <w:lang w:val="bg"/>
        </w:rPr>
      </w:pPr>
      <w:r w:rsidRPr="00265D7E">
        <w:rPr>
          <w:rFonts w:ascii="Times New Roman" w:hAnsi="Times New Roman" w:cs="Times New Roman"/>
          <w:b/>
          <w:sz w:val="24"/>
          <w:szCs w:val="24"/>
          <w:lang w:val="bg"/>
        </w:rPr>
        <w:t>Прозрачност на потребителите и механизъм за участие:</w:t>
      </w:r>
    </w:p>
    <w:p w:rsidR="00265D7E" w:rsidRDefault="007906A8" w:rsidP="00B01311">
      <w:pPr>
        <w:pStyle w:val="ListParagraph"/>
        <w:numPr>
          <w:ilvl w:val="0"/>
          <w:numId w:val="81"/>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Потребителите следва да могат да се включат доброволно в тази схема за ценообразуване при пълна прозрачност относно начина, по който ще се използват техните данни.</w:t>
      </w:r>
    </w:p>
    <w:p w:rsidR="007906A8" w:rsidRPr="00265D7E" w:rsidRDefault="007906A8" w:rsidP="00B01311">
      <w:pPr>
        <w:pStyle w:val="ListParagraph"/>
        <w:numPr>
          <w:ilvl w:val="0"/>
          <w:numId w:val="81"/>
        </w:numPr>
        <w:spacing w:line="276" w:lineRule="auto"/>
        <w:jc w:val="both"/>
        <w:rPr>
          <w:rFonts w:ascii="Times New Roman" w:hAnsi="Times New Roman" w:cs="Times New Roman"/>
          <w:sz w:val="24"/>
          <w:szCs w:val="24"/>
          <w:lang w:val="bg"/>
        </w:rPr>
      </w:pPr>
      <w:r w:rsidRPr="00265D7E">
        <w:rPr>
          <w:rFonts w:ascii="Times New Roman" w:hAnsi="Times New Roman" w:cs="Times New Roman"/>
          <w:sz w:val="24"/>
          <w:szCs w:val="24"/>
          <w:lang w:val="bg"/>
        </w:rPr>
        <w:t>В договора между потребителя и търговеца на енергия следва ясно да се определят:</w:t>
      </w:r>
    </w:p>
    <w:p w:rsidR="00AD373F" w:rsidRDefault="007906A8" w:rsidP="00B01311">
      <w:pPr>
        <w:pStyle w:val="ListParagraph"/>
        <w:numPr>
          <w:ilvl w:val="0"/>
          <w:numId w:val="82"/>
        </w:numPr>
        <w:jc w:val="both"/>
        <w:rPr>
          <w:rFonts w:ascii="Times New Roman" w:hAnsi="Times New Roman" w:cs="Times New Roman"/>
          <w:sz w:val="24"/>
          <w:szCs w:val="24"/>
          <w:lang w:val="bg"/>
        </w:rPr>
      </w:pPr>
      <w:r w:rsidRPr="00AD373F">
        <w:rPr>
          <w:rFonts w:ascii="Times New Roman" w:hAnsi="Times New Roman" w:cs="Times New Roman"/>
          <w:sz w:val="24"/>
          <w:szCs w:val="24"/>
          <w:lang w:val="bg"/>
        </w:rPr>
        <w:t>Колко често ще се използват данните за фактуриране.</w:t>
      </w:r>
    </w:p>
    <w:p w:rsidR="00AD373F" w:rsidRDefault="007906A8" w:rsidP="00B01311">
      <w:pPr>
        <w:pStyle w:val="ListParagraph"/>
        <w:numPr>
          <w:ilvl w:val="0"/>
          <w:numId w:val="82"/>
        </w:numPr>
        <w:jc w:val="both"/>
        <w:rPr>
          <w:rFonts w:ascii="Times New Roman" w:hAnsi="Times New Roman" w:cs="Times New Roman"/>
          <w:sz w:val="24"/>
          <w:szCs w:val="24"/>
          <w:lang w:val="bg"/>
        </w:rPr>
      </w:pPr>
      <w:r w:rsidRPr="00AD373F">
        <w:rPr>
          <w:rFonts w:ascii="Times New Roman" w:hAnsi="Times New Roman" w:cs="Times New Roman"/>
          <w:sz w:val="24"/>
          <w:szCs w:val="24"/>
          <w:lang w:val="bg"/>
        </w:rPr>
        <w:t>До каква степен на подробност ще има достъп търговецът.</w:t>
      </w:r>
    </w:p>
    <w:p w:rsidR="007906A8" w:rsidRPr="00AD373F" w:rsidRDefault="007906A8" w:rsidP="00B01311">
      <w:pPr>
        <w:pStyle w:val="ListParagraph"/>
        <w:numPr>
          <w:ilvl w:val="0"/>
          <w:numId w:val="82"/>
        </w:numPr>
        <w:jc w:val="both"/>
        <w:rPr>
          <w:rFonts w:ascii="Times New Roman" w:hAnsi="Times New Roman" w:cs="Times New Roman"/>
          <w:sz w:val="24"/>
          <w:szCs w:val="24"/>
          <w:lang w:val="bg"/>
        </w:rPr>
      </w:pPr>
      <w:r w:rsidRPr="00AD373F">
        <w:rPr>
          <w:rFonts w:ascii="Times New Roman" w:hAnsi="Times New Roman" w:cs="Times New Roman"/>
          <w:sz w:val="24"/>
          <w:szCs w:val="24"/>
          <w:lang w:val="bg"/>
        </w:rPr>
        <w:t>Как потребителите могат да оттеглят съгласието си.</w:t>
      </w:r>
    </w:p>
    <w:p w:rsidR="00AD373F" w:rsidRDefault="00AD373F" w:rsidP="007906A8">
      <w:pPr>
        <w:rPr>
          <w:lang w:val="bg"/>
        </w:rPr>
      </w:pPr>
      <w:bookmarkStart w:id="155" w:name="bookmark295"/>
    </w:p>
    <w:p w:rsidR="007906A8" w:rsidRPr="00AD373F" w:rsidRDefault="007906A8" w:rsidP="00AD373F">
      <w:pPr>
        <w:spacing w:line="276" w:lineRule="auto"/>
        <w:jc w:val="both"/>
        <w:rPr>
          <w:rFonts w:ascii="Times New Roman" w:hAnsi="Times New Roman" w:cs="Times New Roman"/>
          <w:color w:val="049494"/>
          <w:sz w:val="24"/>
          <w:szCs w:val="24"/>
          <w:lang w:val="bg"/>
        </w:rPr>
      </w:pPr>
      <w:r w:rsidRPr="00AD373F">
        <w:rPr>
          <w:rFonts w:ascii="Times New Roman" w:hAnsi="Times New Roman" w:cs="Times New Roman"/>
          <w:color w:val="049494"/>
          <w:sz w:val="24"/>
          <w:szCs w:val="24"/>
          <w:lang w:val="bg"/>
        </w:rPr>
        <w:t>Механизми за правоприлагане</w:t>
      </w:r>
      <w:bookmarkEnd w:id="155"/>
    </w:p>
    <w:p w:rsidR="007906A8" w:rsidRPr="00AD373F" w:rsidRDefault="007906A8" w:rsidP="007906A8">
      <w:pPr>
        <w:rPr>
          <w:rFonts w:ascii="Times New Roman" w:hAnsi="Times New Roman" w:cs="Times New Roman"/>
          <w:sz w:val="24"/>
          <w:szCs w:val="24"/>
          <w:lang w:val="bg"/>
        </w:rPr>
      </w:pPr>
      <w:r w:rsidRPr="00AD373F">
        <w:rPr>
          <w:rFonts w:ascii="Times New Roman" w:hAnsi="Times New Roman" w:cs="Times New Roman"/>
          <w:sz w:val="24"/>
          <w:szCs w:val="24"/>
          <w:lang w:val="bg"/>
        </w:rPr>
        <w:t>За въвеждането на тази система в българското законодателство ще са необходими следните законови изменения и нормативни промени:</w:t>
      </w:r>
    </w:p>
    <w:p w:rsidR="007906A8" w:rsidRPr="00AD373F" w:rsidRDefault="007906A8" w:rsidP="00B01311">
      <w:pPr>
        <w:pStyle w:val="ListParagraph"/>
        <w:numPr>
          <w:ilvl w:val="0"/>
          <w:numId w:val="83"/>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Изменение на Закона за енергетиката (ЗЕ)</w:t>
      </w:r>
    </w:p>
    <w:p w:rsidR="00AD373F" w:rsidRDefault="007906A8" w:rsidP="00B01311">
      <w:pPr>
        <w:pStyle w:val="ListParagraph"/>
        <w:numPr>
          <w:ilvl w:val="0"/>
          <w:numId w:val="84"/>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Да се включи разпоредба, позволяваща на търговците на енергия да изпращат динамични ценови сигнали, а на потребителите да коригират съответно потреблението си.</w:t>
      </w:r>
    </w:p>
    <w:p w:rsidR="007906A8" w:rsidRPr="00AD373F" w:rsidRDefault="007906A8" w:rsidP="00B01311">
      <w:pPr>
        <w:pStyle w:val="ListParagraph"/>
        <w:numPr>
          <w:ilvl w:val="0"/>
          <w:numId w:val="84"/>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Уверете се, че проверените данни от интелигентни измервателни уреди могат да се използват за фактуриране въз основа на исторически ценови сигнали, дори ако се събират само месечно.</w:t>
      </w:r>
    </w:p>
    <w:p w:rsidR="007906A8" w:rsidRPr="00AD373F" w:rsidRDefault="007906A8" w:rsidP="00B01311">
      <w:pPr>
        <w:pStyle w:val="ListParagraph"/>
        <w:numPr>
          <w:ilvl w:val="0"/>
          <w:numId w:val="83"/>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Нова регулация съгласно Правилата за измерване на електрическата енергия (Правила за измерване на електрическата енергия)</w:t>
      </w:r>
    </w:p>
    <w:p w:rsidR="00AD373F" w:rsidRDefault="007906A8" w:rsidP="00B01311">
      <w:pPr>
        <w:pStyle w:val="ListParagraph"/>
        <w:numPr>
          <w:ilvl w:val="0"/>
          <w:numId w:val="85"/>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Определете отговорността на операторите на разпределителни системи да позволяват почасово или 15-минутно измерване без предаване в реално време.</w:t>
      </w:r>
    </w:p>
    <w:p w:rsidR="007906A8" w:rsidRPr="00AD373F" w:rsidRDefault="007906A8" w:rsidP="00B01311">
      <w:pPr>
        <w:pStyle w:val="ListParagraph"/>
        <w:numPr>
          <w:ilvl w:val="0"/>
          <w:numId w:val="85"/>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Да се посочи, че търговците на енергия могат да имат достъп до тези данни изключително за целите на сетълмента.</w:t>
      </w:r>
    </w:p>
    <w:p w:rsidR="007906A8" w:rsidRPr="00AD373F" w:rsidRDefault="007906A8" w:rsidP="00B01311">
      <w:pPr>
        <w:pStyle w:val="ListParagraph"/>
        <w:numPr>
          <w:ilvl w:val="0"/>
          <w:numId w:val="83"/>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lastRenderedPageBreak/>
        <w:t>Въвеждане на рамка за споделяне на данни</w:t>
      </w:r>
    </w:p>
    <w:p w:rsidR="00AD373F" w:rsidRDefault="007906A8" w:rsidP="00B01311">
      <w:pPr>
        <w:pStyle w:val="ListParagraph"/>
        <w:numPr>
          <w:ilvl w:val="0"/>
          <w:numId w:val="86"/>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 xml:space="preserve">Установяване на ясни насоки за сигурен обмен на данни между операторите на разпределителни системи, търговците и потребителите в съответствие с </w:t>
      </w:r>
      <w:r w:rsidRPr="00AD373F">
        <w:rPr>
          <w:rFonts w:ascii="Times New Roman" w:hAnsi="Times New Roman" w:cs="Times New Roman"/>
          <w:sz w:val="24"/>
          <w:szCs w:val="24"/>
        </w:rPr>
        <w:t>GDPR</w:t>
      </w:r>
      <w:r w:rsidRPr="00AD373F">
        <w:rPr>
          <w:rFonts w:ascii="Times New Roman" w:hAnsi="Times New Roman" w:cs="Times New Roman"/>
          <w:sz w:val="24"/>
          <w:szCs w:val="24"/>
          <w:lang w:val="bg"/>
        </w:rPr>
        <w:t>.</w:t>
      </w:r>
    </w:p>
    <w:p w:rsidR="007906A8" w:rsidRPr="00AD373F" w:rsidRDefault="007906A8" w:rsidP="00B01311">
      <w:pPr>
        <w:pStyle w:val="ListParagraph"/>
        <w:numPr>
          <w:ilvl w:val="0"/>
          <w:numId w:val="86"/>
        </w:num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Гарантиране, че потребителите имат пълен контрол върху разрешението си за достъп до данни</w:t>
      </w:r>
    </w:p>
    <w:p w:rsidR="007906A8" w:rsidRDefault="007906A8" w:rsidP="00FA57D1">
      <w:pPr>
        <w:spacing w:line="276" w:lineRule="auto"/>
        <w:jc w:val="both"/>
        <w:rPr>
          <w:lang w:val="bg"/>
        </w:rPr>
      </w:pPr>
      <w:r w:rsidRPr="00AD373F">
        <w:rPr>
          <w:rFonts w:ascii="Times New Roman" w:hAnsi="Times New Roman" w:cs="Times New Roman"/>
          <w:sz w:val="24"/>
          <w:szCs w:val="24"/>
          <w:lang w:val="bg"/>
        </w:rPr>
        <w:t>Този подход би позволил на България да увеличи максимално потенциала на вече инсталираните интелигентни измервателни уреди, без да се изисква скъпа инфраструктура за предаване на данни в реално време. Това ще даде възможност за динамично ценообразуване, основано на времето, подобряване на ефективността на мрежата, гъвкавост на търсенето и икономии на разходи за потребителите.</w:t>
      </w:r>
    </w:p>
    <w:p w:rsidR="00FA57D1" w:rsidRPr="007906A8" w:rsidRDefault="00FA57D1" w:rsidP="00FA57D1">
      <w:pPr>
        <w:spacing w:line="276" w:lineRule="auto"/>
        <w:jc w:val="both"/>
        <w:rPr>
          <w:lang w:val="bg"/>
        </w:rPr>
      </w:pPr>
    </w:p>
    <w:p w:rsidR="007906A8" w:rsidRDefault="007906A8" w:rsidP="00B01311">
      <w:pPr>
        <w:pStyle w:val="Heading1"/>
        <w:numPr>
          <w:ilvl w:val="1"/>
          <w:numId w:val="77"/>
        </w:numPr>
        <w:spacing w:line="276" w:lineRule="auto"/>
        <w:jc w:val="both"/>
        <w:rPr>
          <w:rFonts w:ascii="Times New Roman" w:hAnsi="Times New Roman" w:cs="Times New Roman"/>
          <w:color w:val="049494"/>
          <w:lang w:val="bg"/>
        </w:rPr>
      </w:pPr>
      <w:bookmarkStart w:id="156" w:name="bookmark298"/>
      <w:bookmarkStart w:id="157" w:name="bookmark297"/>
      <w:bookmarkStart w:id="158" w:name="_Toc203141285"/>
      <w:r w:rsidRPr="00CE6D3C">
        <w:rPr>
          <w:rFonts w:ascii="Times New Roman" w:hAnsi="Times New Roman" w:cs="Times New Roman"/>
          <w:color w:val="049494"/>
          <w:lang w:val="bg"/>
        </w:rPr>
        <w:t>Технологичен статус в Норвегия</w:t>
      </w:r>
      <w:bookmarkEnd w:id="156"/>
      <w:bookmarkEnd w:id="157"/>
      <w:bookmarkEnd w:id="158"/>
    </w:p>
    <w:p w:rsidR="00215AA1" w:rsidRPr="00215AA1" w:rsidRDefault="00215AA1" w:rsidP="00215AA1">
      <w:pPr>
        <w:rPr>
          <w:lang w:val="bg"/>
        </w:rPr>
      </w:pPr>
    </w:p>
    <w:p w:rsidR="00CE6D3C" w:rsidRPr="00CE6D3C" w:rsidRDefault="007906A8" w:rsidP="00B01311">
      <w:pPr>
        <w:pStyle w:val="Heading3"/>
        <w:numPr>
          <w:ilvl w:val="2"/>
          <w:numId w:val="77"/>
        </w:numPr>
        <w:spacing w:line="276" w:lineRule="auto"/>
        <w:jc w:val="both"/>
        <w:rPr>
          <w:rFonts w:ascii="Times New Roman" w:hAnsi="Times New Roman" w:cs="Times New Roman"/>
          <w:color w:val="049494"/>
          <w:sz w:val="28"/>
          <w:szCs w:val="28"/>
          <w:lang w:val="bg"/>
        </w:rPr>
      </w:pPr>
      <w:bookmarkStart w:id="159" w:name="bookmark301"/>
      <w:bookmarkStart w:id="160" w:name="bookmark300"/>
      <w:bookmarkStart w:id="161" w:name="_Toc203141286"/>
      <w:r w:rsidRPr="00AD373F">
        <w:rPr>
          <w:rFonts w:ascii="Times New Roman" w:hAnsi="Times New Roman" w:cs="Times New Roman"/>
          <w:color w:val="049494"/>
          <w:sz w:val="28"/>
          <w:szCs w:val="28"/>
          <w:lang w:val="bg"/>
        </w:rPr>
        <w:t>Преглед на дейността на Elhub</w:t>
      </w:r>
      <w:bookmarkEnd w:id="159"/>
      <w:bookmarkEnd w:id="160"/>
      <w:bookmarkEnd w:id="161"/>
    </w:p>
    <w:p w:rsidR="00215AA1" w:rsidRPr="00215AA1" w:rsidRDefault="00215AA1" w:rsidP="00215AA1">
      <w:pPr>
        <w:pStyle w:val="ListParagraph"/>
        <w:ind w:left="1080"/>
        <w:rPr>
          <w:lang w:val="bg"/>
        </w:rPr>
      </w:pP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Elhub функционира като централен център за данни за норвежкия пазар на електроенергия, като улеснява обмена на информация между различните участници на пазара, включително операторите на мрежи, доставчиците на електроенергия и доставчиците</w:t>
      </w:r>
      <w:hyperlink w:anchor="bookmark50" w:tooltip="Current Document">
        <w:r w:rsidRPr="00F015E5">
          <w:rPr>
            <w:rStyle w:val="Hyperlink"/>
            <w:rFonts w:ascii="Times New Roman" w:hAnsi="Times New Roman" w:cs="Times New Roman"/>
            <w:sz w:val="24"/>
            <w:szCs w:val="24"/>
            <w:vertAlign w:val="superscript"/>
            <w:lang w:val="bg"/>
          </w:rPr>
          <w:footnoteReference w:id="44"/>
        </w:r>
      </w:hyperlink>
      <w:r w:rsidRPr="00F015E5">
        <w:rPr>
          <w:rFonts w:ascii="Times New Roman" w:hAnsi="Times New Roman" w:cs="Times New Roman"/>
          <w:sz w:val="24"/>
          <w:szCs w:val="24"/>
          <w:vertAlign w:val="superscript"/>
          <w:lang w:val="bg"/>
        </w:rPr>
        <w:t xml:space="preserve"> </w:t>
      </w:r>
      <w:r w:rsidRPr="00AD373F">
        <w:rPr>
          <w:rFonts w:ascii="Times New Roman" w:hAnsi="Times New Roman" w:cs="Times New Roman"/>
          <w:sz w:val="24"/>
          <w:szCs w:val="24"/>
          <w:lang w:val="bg"/>
        </w:rPr>
        <w:t>на балансираща електроенергия. Тя играе решаваща роля в подпомагането на няколко ключови бизнес процеса, които са от съществено значение за ефективното функциониране на пазара на електроенергия.</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Основните участници в дейността на Elhub включват оператори на мрежи, които отговарят за поддържането на физическата инфраструктура и осигуряването на показанията на измервателните уреди; доставчици на електроенергия, които продават електроенергия на потребителите; балансиране на доставчиците, които отговарят за балансирането на търсенето и предлагането на пазара на електроенергия; и крайни клиенти, които имат договорни отношения с участници на пазара по отношение на мрежова връзка, доставка на електроенергия или други свързани услуги.</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Elhub гарантира, че всички обменяни данни са точни, навременни и защитени срещу неоторизиран достъп. Това включва спазването на законите за личните данни и използването на усъвършенствани мерки за сигурност като криптиране и удостоверяване. Elhub предоставя насоки и технически спецификации за интегриране със своите системи, като гарантира, че всички участници на пазара могат ефективно и точно да обменят данни с Elhub.</w:t>
      </w:r>
      <w:hyperlink w:anchor="bookmark51" w:tooltip="Current Document">
        <w:r w:rsidRPr="00F015E5">
          <w:rPr>
            <w:rStyle w:val="Hyperlink"/>
            <w:rFonts w:ascii="Times New Roman" w:hAnsi="Times New Roman" w:cs="Times New Roman"/>
            <w:sz w:val="24"/>
            <w:szCs w:val="24"/>
            <w:vertAlign w:val="superscript"/>
            <w:lang w:val="bg"/>
          </w:rPr>
          <w:footnoteReference w:id="45"/>
        </w:r>
      </w:hyperlink>
    </w:p>
    <w:p w:rsidR="00CE6D3C" w:rsidRPr="00CE6D3C" w:rsidRDefault="007906A8" w:rsidP="00B01311">
      <w:pPr>
        <w:pStyle w:val="Heading3"/>
        <w:numPr>
          <w:ilvl w:val="2"/>
          <w:numId w:val="77"/>
        </w:numPr>
        <w:spacing w:line="276" w:lineRule="auto"/>
        <w:jc w:val="both"/>
        <w:rPr>
          <w:rFonts w:ascii="Times New Roman" w:hAnsi="Times New Roman" w:cs="Times New Roman"/>
          <w:color w:val="049494"/>
          <w:sz w:val="28"/>
          <w:szCs w:val="28"/>
          <w:lang w:val="bg"/>
        </w:rPr>
      </w:pPr>
      <w:bookmarkStart w:id="164" w:name="bookmark304"/>
      <w:bookmarkStart w:id="165" w:name="bookmark303"/>
      <w:bookmarkStart w:id="166" w:name="_Toc203141287"/>
      <w:r w:rsidRPr="00AD373F">
        <w:rPr>
          <w:rFonts w:ascii="Times New Roman" w:hAnsi="Times New Roman" w:cs="Times New Roman"/>
          <w:color w:val="049494"/>
          <w:sz w:val="28"/>
          <w:szCs w:val="28"/>
          <w:lang w:val="bg"/>
        </w:rPr>
        <w:t>Бизнес процеси, поддържани от Elhub</w:t>
      </w:r>
      <w:bookmarkEnd w:id="164"/>
      <w:bookmarkEnd w:id="165"/>
      <w:bookmarkEnd w:id="166"/>
    </w:p>
    <w:p w:rsidR="00215AA1" w:rsidRPr="00215AA1" w:rsidRDefault="00215AA1" w:rsidP="00215AA1">
      <w:pPr>
        <w:pStyle w:val="ListParagraph"/>
        <w:ind w:left="1080"/>
        <w:rPr>
          <w:lang w:val="bg"/>
        </w:rPr>
      </w:pP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lastRenderedPageBreak/>
        <w:t>Elhub поддържа няколко критични бизнес процеса, които са от съществено значение за ефективното функциониране на норвежкия пазар на електроенергия. Тези процеси включват:</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Измерване:</w:t>
      </w:r>
      <w:r w:rsidRPr="00AD373F">
        <w:rPr>
          <w:rFonts w:ascii="Times New Roman" w:hAnsi="Times New Roman" w:cs="Times New Roman"/>
          <w:sz w:val="24"/>
          <w:szCs w:val="24"/>
          <w:lang w:val="bg"/>
        </w:rPr>
        <w:t xml:space="preserve"> Elhub улеснява събирането и валидирането на показанията на измервателните уреди от мрежовите оператори. Този процес гарантира, че се събират точни данни от интелигентните измервателни уреди, инсталирани в помещенията на потребителите и предавани на Elhub чрез стандартизирани съобщения. Процесът на валидиране включва първоначални проверки за основни грешки и по-усъвършенствани проверки за съответствие, за да се гарантира точността на данните.</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Превключване на доставчика:</w:t>
      </w:r>
      <w:r w:rsidRPr="00AD373F">
        <w:rPr>
          <w:rFonts w:ascii="Times New Roman" w:hAnsi="Times New Roman" w:cs="Times New Roman"/>
          <w:sz w:val="24"/>
          <w:szCs w:val="24"/>
          <w:lang w:val="bg"/>
        </w:rPr>
        <w:t xml:space="preserve"> Elhub управлява процеса на смяна на доставчиците на електроенергия за потребителите. Това включва актуализиране на записите, за да се отрази новият доставчик, и осигуряване на плавен преход за потребителя. Процесът е проектиран така, че да бъде ефективен и точен, като свежда до минимум смущенията за потребителите.</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Фактуриране и сетълмент:</w:t>
      </w:r>
      <w:r w:rsidRPr="00AD373F">
        <w:rPr>
          <w:rFonts w:ascii="Times New Roman" w:hAnsi="Times New Roman" w:cs="Times New Roman"/>
          <w:sz w:val="24"/>
          <w:szCs w:val="24"/>
          <w:lang w:val="bg"/>
        </w:rPr>
        <w:t xml:space="preserve"> Elhub гарантира, че финансовите сделки между участниците на пазара се обработват и уреждат точно. Това включва изчисляване на таксите въз основа на показанията на измервателните уреди и равнение на плащанията между доставчиците и операторите на мрежи. Целта на този процес е да се гарантира прозрачност и точност на финансовите операции.</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Управление на основни данни:</w:t>
      </w:r>
      <w:r w:rsidRPr="00AD373F">
        <w:rPr>
          <w:rFonts w:ascii="Times New Roman" w:hAnsi="Times New Roman" w:cs="Times New Roman"/>
          <w:sz w:val="24"/>
          <w:szCs w:val="24"/>
          <w:lang w:val="bg"/>
        </w:rPr>
        <w:t xml:space="preserve"> Elhub отговаря за актуализирането и поддържането на основни данни, свързани с измервателните точки, клиентите и договорите. Това включва гарантиране, че всички данни са точни и актуални и че всички промени се отразяват своевременно в системата. Управлението на основните данни е от съществено значение за ефективното функциониране на пазара на електроенергия, тъй като гарантира, че всички участници имат достъп до точна информация.</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Край на доставката:</w:t>
      </w:r>
      <w:r w:rsidRPr="00AD373F">
        <w:rPr>
          <w:rFonts w:ascii="Times New Roman" w:hAnsi="Times New Roman" w:cs="Times New Roman"/>
          <w:sz w:val="24"/>
          <w:szCs w:val="24"/>
          <w:lang w:val="bg"/>
        </w:rPr>
        <w:t xml:space="preserve"> Elhub управлява процеса, когато клиентът прекрати договора си за доставка на електроенергия. Това включва актуализиране на записите, за да се отрази прекратяването на договора и да се гарантира, че са предприети всички необходими стъпки за финализиране на прекратяването. Процесът е проектиран така, че да бъде ефективен и точен, като свежда до минимум смущенията за потребителите.</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b/>
          <w:bCs/>
          <w:sz w:val="24"/>
          <w:szCs w:val="24"/>
          <w:lang w:val="bg"/>
        </w:rPr>
        <w:t>Помиряване:</w:t>
      </w:r>
      <w:r w:rsidRPr="00AD373F">
        <w:rPr>
          <w:rFonts w:ascii="Times New Roman" w:hAnsi="Times New Roman" w:cs="Times New Roman"/>
          <w:sz w:val="24"/>
          <w:szCs w:val="24"/>
          <w:lang w:val="bg"/>
        </w:rPr>
        <w:t xml:space="preserve"> Elhub гарантира, че данните, свързани с потреблението и производството на енергия, са точни и съгласувани между различните участници на пазара. Това включва сравняване на показанията на измервателните уреди с данни от други източници и отстраняване на всякакви несъответствия. Процесът на съгласуване е от съществено значение, за да се запази целостта на данните и да се гарантира, че всички участници имат достъп до точна информация.</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Системата гарантира, че данните са точни, навременни и защитени срещу неоторизиран достъп и предоставя насоки и технически спецификации за интегриране със своите системи.</w:t>
      </w:r>
    </w:p>
    <w:p w:rsidR="00CE6D3C" w:rsidRPr="00CE6D3C" w:rsidRDefault="007906A8" w:rsidP="00B01311">
      <w:pPr>
        <w:pStyle w:val="Heading3"/>
        <w:numPr>
          <w:ilvl w:val="2"/>
          <w:numId w:val="77"/>
        </w:numPr>
        <w:spacing w:line="276" w:lineRule="auto"/>
        <w:jc w:val="both"/>
        <w:rPr>
          <w:rFonts w:ascii="Times New Roman" w:hAnsi="Times New Roman" w:cs="Times New Roman"/>
          <w:color w:val="049494"/>
          <w:sz w:val="28"/>
          <w:szCs w:val="28"/>
          <w:lang w:val="bg"/>
        </w:rPr>
      </w:pPr>
      <w:bookmarkStart w:id="167" w:name="bookmark307"/>
      <w:bookmarkStart w:id="168" w:name="bookmark306"/>
      <w:bookmarkStart w:id="169" w:name="_Toc203141288"/>
      <w:r w:rsidRPr="00AD373F">
        <w:rPr>
          <w:rFonts w:ascii="Times New Roman" w:hAnsi="Times New Roman" w:cs="Times New Roman"/>
          <w:color w:val="049494"/>
          <w:sz w:val="28"/>
          <w:szCs w:val="28"/>
          <w:lang w:val="bg"/>
        </w:rPr>
        <w:t>Събиране на показанията на измервателните уреди</w:t>
      </w:r>
      <w:bookmarkEnd w:id="167"/>
      <w:bookmarkEnd w:id="168"/>
      <w:bookmarkEnd w:id="169"/>
    </w:p>
    <w:p w:rsidR="00215AA1" w:rsidRPr="00215AA1" w:rsidRDefault="00215AA1" w:rsidP="00215AA1">
      <w:pPr>
        <w:pStyle w:val="ListParagraph"/>
        <w:ind w:left="1080"/>
        <w:rPr>
          <w:lang w:val="bg"/>
        </w:rPr>
      </w:pP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 xml:space="preserve">Отчитанията на измервателните уреди се събират периодично от измервателните уреди за събиране на данни (MDC), които могат да бъдат оператори на мрежи или други </w:t>
      </w:r>
      <w:r w:rsidRPr="00AD373F">
        <w:rPr>
          <w:rFonts w:ascii="Times New Roman" w:hAnsi="Times New Roman" w:cs="Times New Roman"/>
          <w:sz w:val="24"/>
          <w:szCs w:val="24"/>
          <w:lang w:val="bg"/>
        </w:rPr>
        <w:lastRenderedPageBreak/>
        <w:t>упълномощени субекти. Тези показания се събират от интелигентни измервателни уреди, инсталирани в помещенията на потребителите, и се предават на Elhub чрез стандартизирани съобщения. Отговорността за събиране на показанията на измервателните уреди от крайните клиенти се носи основно от мрежовите оператори, които използват различни комуникационни технологии като GSM, GPRS, LTE и RF mesh мрежи за събиране на данни от крайните клиенти.</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Процесът на събиране на показанията на измервателните уреди включва няколко стъпки. Интелигентните измервателни уреди, инсталирани в помещенията на потребителите, записват данни за потреблението на електроенергия на редовни интервали от време. Тези измервателни уреди са оборудвани с комуникационни модули, които позволяват дистанционно предаване на данни. След това събраните данни се предават на системите на мрежовите оператори, като се използват сигурни комуникационни протоколи. Операторите на електроенергийната мрежа обобщават показанията на измервателните уреди и ги подготвят за подаване в Elhub. Данните се форматират в съответствие със стандартизираните спецификации на съобщенията, определени от Elhub, като се гарантира последователност и точност.</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След като показанията на измервателните уреди бъдат събрани и валидирани от мрежовите оператори, те се прехвърлят в Elhub, като се използва интерфейсът за съобщения на Elhub (EMIF).</w:t>
      </w:r>
      <w:hyperlink w:anchor="bookmark52" w:tooltip="Current Document">
        <w:r w:rsidRPr="00F015E5">
          <w:rPr>
            <w:rStyle w:val="Hyperlink"/>
            <w:rFonts w:ascii="Times New Roman" w:hAnsi="Times New Roman" w:cs="Times New Roman"/>
            <w:sz w:val="24"/>
            <w:szCs w:val="24"/>
            <w:vertAlign w:val="superscript"/>
            <w:lang w:val="bg"/>
          </w:rPr>
          <w:footnoteReference w:id="46"/>
        </w:r>
      </w:hyperlink>
      <w:r w:rsidRPr="00F015E5">
        <w:rPr>
          <w:rFonts w:ascii="Times New Roman" w:hAnsi="Times New Roman" w:cs="Times New Roman"/>
          <w:sz w:val="24"/>
          <w:szCs w:val="24"/>
          <w:vertAlign w:val="superscript"/>
          <w:lang w:val="bg"/>
        </w:rPr>
        <w:t xml:space="preserve"> </w:t>
      </w:r>
      <w:r w:rsidRPr="00AD373F">
        <w:rPr>
          <w:rFonts w:ascii="Times New Roman" w:hAnsi="Times New Roman" w:cs="Times New Roman"/>
          <w:sz w:val="24"/>
          <w:szCs w:val="24"/>
          <w:lang w:val="bg"/>
        </w:rPr>
        <w:t>EMIF гарантира, че данните се предават по сигурен и ефективен начин между системите на мрежовите оператори и Elhub. Процесът на трансфер на данни включва няколко ключови стъпки.</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Първоначално мрежовите оператори подготвят събраните показания на измервателните уреди за прехвърляне чрез форматиране на данните според спецификациите на съобщенията на Elhub. Тази подготовка включва гарантиране, че всички задължителни полета са попълнени и че данните се придържат към определения формат.</w:t>
      </w:r>
    </w:p>
    <w:p w:rsidR="00215AA1"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След подготовката данните се предават на Elhub, като се използват сигурни комуникационни протоколи като Transport Layer Security (TLS). Този протокол гарантира, че данните са криптирани по време на предаването, като по този начин се предотвратява неоторизиран достъп.</w:t>
      </w:r>
    </w:p>
    <w:p w:rsidR="00215AA1" w:rsidRPr="00AD373F" w:rsidRDefault="00215AA1" w:rsidP="00AD373F">
      <w:pPr>
        <w:spacing w:line="276" w:lineRule="auto"/>
        <w:jc w:val="both"/>
        <w:rPr>
          <w:rFonts w:ascii="Times New Roman" w:hAnsi="Times New Roman" w:cs="Times New Roman"/>
          <w:sz w:val="24"/>
          <w:szCs w:val="24"/>
          <w:lang w:val="bg"/>
        </w:rPr>
      </w:pPr>
    </w:p>
    <w:p w:rsidR="00CE6D3C" w:rsidRPr="00CE6D3C" w:rsidRDefault="007906A8" w:rsidP="00B01311">
      <w:pPr>
        <w:pStyle w:val="Heading3"/>
        <w:numPr>
          <w:ilvl w:val="2"/>
          <w:numId w:val="77"/>
        </w:numPr>
        <w:spacing w:line="276" w:lineRule="auto"/>
        <w:jc w:val="both"/>
        <w:rPr>
          <w:rFonts w:ascii="Times New Roman" w:hAnsi="Times New Roman" w:cs="Times New Roman"/>
          <w:color w:val="049494"/>
          <w:sz w:val="28"/>
          <w:szCs w:val="28"/>
          <w:lang w:val="bg"/>
        </w:rPr>
      </w:pPr>
      <w:bookmarkStart w:id="171" w:name="bookmark310"/>
      <w:bookmarkStart w:id="172" w:name="bookmark309"/>
      <w:bookmarkStart w:id="173" w:name="_Toc203141289"/>
      <w:r w:rsidRPr="00AD373F">
        <w:rPr>
          <w:rFonts w:ascii="Times New Roman" w:hAnsi="Times New Roman" w:cs="Times New Roman"/>
          <w:color w:val="049494"/>
          <w:sz w:val="28"/>
          <w:szCs w:val="28"/>
          <w:lang w:val="bg"/>
        </w:rPr>
        <w:t>Валидиране на показанията на измервателните уред</w:t>
      </w:r>
      <w:bookmarkEnd w:id="171"/>
      <w:bookmarkEnd w:id="172"/>
      <w:r w:rsidR="00CE6D3C">
        <w:rPr>
          <w:rFonts w:ascii="Times New Roman" w:hAnsi="Times New Roman" w:cs="Times New Roman"/>
          <w:color w:val="049494"/>
          <w:sz w:val="28"/>
          <w:szCs w:val="28"/>
          <w:lang w:val="bg"/>
        </w:rPr>
        <w:t>и</w:t>
      </w:r>
      <w:bookmarkEnd w:id="173"/>
    </w:p>
    <w:p w:rsidR="00215AA1" w:rsidRPr="00215AA1" w:rsidRDefault="00215AA1" w:rsidP="00215AA1">
      <w:pPr>
        <w:pStyle w:val="ListParagraph"/>
        <w:ind w:left="1080"/>
        <w:rPr>
          <w:lang w:val="bg"/>
        </w:rPr>
      </w:pP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 xml:space="preserve">При получаване на данните Elhub извършва първоначално валидиране, за да провери за основни грешки като липсващи данни, неправилни формати или стойности извън обхвата. След това се извършват по-усъвършенствани проверки за валидиране, включително проверки за съгласуваност, за да се гарантира, че показанията на измервателните уреди са в съответствие с историческите данни и очакваните модели на потребление. Освен това кръстосаното валидиране се извършва чрез сравняване на подадените показания с данни от други източници, като например предишни показания или оценки, предоставени от доставчиците на баланси. Ако по време на валидирането бъдат открити несъответствия или </w:t>
      </w:r>
      <w:r w:rsidRPr="00AD373F">
        <w:rPr>
          <w:rFonts w:ascii="Times New Roman" w:hAnsi="Times New Roman" w:cs="Times New Roman"/>
          <w:sz w:val="24"/>
          <w:szCs w:val="24"/>
          <w:lang w:val="bg"/>
        </w:rPr>
        <w:lastRenderedPageBreak/>
        <w:t>грешки, Elhub генерира доклади за несъответствие и съобщава тези проблеми на съответните участници на пазара за коригиране.</w:t>
      </w:r>
    </w:p>
    <w:p w:rsidR="007906A8" w:rsidRPr="00AD373F" w:rsidRDefault="007906A8" w:rsidP="00AD373F">
      <w:pPr>
        <w:spacing w:line="276" w:lineRule="auto"/>
        <w:jc w:val="both"/>
        <w:rPr>
          <w:rFonts w:ascii="Times New Roman" w:hAnsi="Times New Roman" w:cs="Times New Roman"/>
          <w:color w:val="049494"/>
          <w:sz w:val="24"/>
          <w:szCs w:val="24"/>
          <w:lang w:val="bg"/>
        </w:rPr>
      </w:pPr>
      <w:bookmarkStart w:id="174" w:name="bookmark312"/>
      <w:r w:rsidRPr="00AD373F">
        <w:rPr>
          <w:rFonts w:ascii="Times New Roman" w:hAnsi="Times New Roman" w:cs="Times New Roman"/>
          <w:color w:val="049494"/>
          <w:sz w:val="24"/>
          <w:szCs w:val="24"/>
          <w:lang w:val="bg"/>
        </w:rPr>
        <w:t>Процес на съхранение на данни</w:t>
      </w:r>
      <w:bookmarkEnd w:id="174"/>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Elhub използва централизирана база данни за съхраняване на всички събрани данни, включително показанията на измервателните уреди, основните данни и записите на транзакциите. Този централизиран подход осигурява последователност и лесен достъп за оторизираните потребители. За да се защити чувствителната информация, всички данни, съхранявани в Elhub, са криптирани, предотвратявайки неоторизиран достъп и поддържайки целостта на данните. Elhub следва регулаторните изисквания за запазване на данни, съхраняване на данни за определен период от време преди сигурното им архивиране или изтриване. Извършват се редовни резервни копия, за да се гарантира, че данните не се губят в случай на повреди в системата, и са налице надеждни планове за възстановяване при бедствия, за да се възстановят данните бързо и ефективно.</w:t>
      </w:r>
    </w:p>
    <w:p w:rsidR="007906A8" w:rsidRPr="00AD373F" w:rsidRDefault="007906A8" w:rsidP="00AD373F">
      <w:pPr>
        <w:spacing w:line="276" w:lineRule="auto"/>
        <w:jc w:val="both"/>
        <w:rPr>
          <w:rFonts w:ascii="Times New Roman" w:hAnsi="Times New Roman" w:cs="Times New Roman"/>
          <w:color w:val="049494"/>
          <w:sz w:val="24"/>
          <w:szCs w:val="24"/>
          <w:lang w:val="bg"/>
        </w:rPr>
      </w:pPr>
      <w:bookmarkStart w:id="175" w:name="bookmark314"/>
      <w:r w:rsidRPr="00AD373F">
        <w:rPr>
          <w:rFonts w:ascii="Times New Roman" w:hAnsi="Times New Roman" w:cs="Times New Roman"/>
          <w:color w:val="049494"/>
          <w:sz w:val="24"/>
          <w:szCs w:val="24"/>
          <w:lang w:val="bg"/>
        </w:rPr>
        <w:t>Достъп до данни</w:t>
      </w:r>
      <w:bookmarkEnd w:id="175"/>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Elhub прилага строги мерки за контрол на достъпа, които позволяват само на упълномощени участници на пазара да имат достъп до конкретни данни, свързани с техните операции. Различните участници могат да получат достъп до данните на Elhub чрез различни средства. Участниците на пазара, като например операторите на мрежи, доставчиците на електроенергия и доставчиците на баланс, имат достъп до подробни данни чрез специални API и портала за действащи лица Elhub. Крайните клиенти имат достъп до собствените си данни чрез „Моите страници“ на Elhub, чрез портала за клиенти на своя доставчик на електроенергия или други упълномощени платформи. Упълномощени трети страни могат да получат достъп до данните от клиентските измервателни точки със съгласието на клиента. Публичният достъп до обобщени набори от данни е достъпен чрез отворени API и файлове за изтегляне на уебсайта на Elhub.</w:t>
      </w:r>
    </w:p>
    <w:p w:rsidR="007906A8" w:rsidRPr="00AD373F" w:rsidRDefault="007906A8" w:rsidP="00AD373F">
      <w:pPr>
        <w:spacing w:line="276" w:lineRule="auto"/>
        <w:jc w:val="both"/>
        <w:rPr>
          <w:rFonts w:ascii="Times New Roman" w:hAnsi="Times New Roman" w:cs="Times New Roman"/>
          <w:sz w:val="24"/>
          <w:szCs w:val="24"/>
          <w:lang w:val="bg"/>
        </w:rPr>
      </w:pPr>
      <w:r w:rsidRPr="00AD373F">
        <w:rPr>
          <w:rFonts w:ascii="Times New Roman" w:hAnsi="Times New Roman" w:cs="Times New Roman"/>
          <w:sz w:val="24"/>
          <w:szCs w:val="24"/>
          <w:lang w:val="bg"/>
        </w:rPr>
        <w:t>За крайните клиенти данните включват информация за техните измервателни точки, исторически и текущи показания на измервателните уреди, информация за клиентите, регистрирана от мрежовия оператор и доставчика на електроенергия, информация за настоящия доставчик на електроенергия и възможност за управление на искания на трети страни за достъп до техните данни от измервателните точки. Крайните клиенти могат да влизат в "Моите страници", като използват сигурни методи за удостоверяване като BankID или други поддържани услуги за влизане, като гарантират, че само упълномощени потребители имат достъп до личните си данни.</w:t>
      </w:r>
    </w:p>
    <w:p w:rsidR="007906A8" w:rsidRPr="00AD373F" w:rsidRDefault="007906A8" w:rsidP="00AD373F">
      <w:pPr>
        <w:spacing w:line="276" w:lineRule="auto"/>
        <w:jc w:val="both"/>
        <w:rPr>
          <w:rFonts w:ascii="Times New Roman" w:hAnsi="Times New Roman" w:cs="Times New Roman"/>
          <w:color w:val="049494"/>
          <w:sz w:val="24"/>
          <w:szCs w:val="24"/>
          <w:lang w:val="bg"/>
        </w:rPr>
      </w:pPr>
      <w:bookmarkStart w:id="176" w:name="bookmark316"/>
      <w:r w:rsidRPr="00AD373F">
        <w:rPr>
          <w:rFonts w:ascii="Times New Roman" w:hAnsi="Times New Roman" w:cs="Times New Roman"/>
          <w:color w:val="049494"/>
          <w:sz w:val="24"/>
          <w:szCs w:val="24"/>
          <w:lang w:val="bg"/>
        </w:rPr>
        <w:t>Набори от данни за публичен достъп</w:t>
      </w:r>
      <w:bookmarkEnd w:id="176"/>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 xml:space="preserve">Elhub предоставя няколко набора от данни за публичен достъп, предназначени да насърчават прозрачността, да подкрепят иновациите и да предоставят ценна информация за норвежкия пазар на електроенергия. Тези набори от данни включват обобщени данни за потреблението, които предоставят информация за потреблението на електроенергия в различните региони и периоди, и обобщени данни за производството, които съдържат информация за производството на електроенергия от различни източници, като например енергия от възобновяеми източници и традиционни електроцентрали. Данните за пазарните процеси включват информация за различни пазарни процеси, като например смяна на </w:t>
      </w:r>
      <w:r w:rsidRPr="00A14D29">
        <w:rPr>
          <w:rFonts w:ascii="Times New Roman" w:hAnsi="Times New Roman" w:cs="Times New Roman"/>
          <w:sz w:val="24"/>
          <w:szCs w:val="24"/>
          <w:lang w:val="bg"/>
        </w:rPr>
        <w:lastRenderedPageBreak/>
        <w:t>доставчика, промени в договора и събития в края на предлагането. Докладите за качеството на данните предоставят информация за качеството на данните, включително измервания и изчисления, и се използват за мониторинг и подобряване на качеството на данните, като се гарантира спазването на регулаторните стандарти и се подпомага вземането на р</w:t>
      </w:r>
      <w:r w:rsidR="00FA57D1">
        <w:rPr>
          <w:rFonts w:ascii="Times New Roman" w:hAnsi="Times New Roman" w:cs="Times New Roman"/>
          <w:sz w:val="24"/>
          <w:szCs w:val="24"/>
          <w:lang w:val="bg"/>
        </w:rPr>
        <w:t>ешения въз основа на данни.</w:t>
      </w:r>
    </w:p>
    <w:p w:rsidR="007906A8" w:rsidRPr="00A14D29" w:rsidRDefault="007906A8" w:rsidP="00A14D29">
      <w:pPr>
        <w:jc w:val="both"/>
        <w:rPr>
          <w:rFonts w:ascii="Times New Roman" w:hAnsi="Times New Roman" w:cs="Times New Roman"/>
          <w:color w:val="049494"/>
          <w:sz w:val="24"/>
          <w:szCs w:val="24"/>
          <w:lang w:val="bg"/>
        </w:rPr>
      </w:pPr>
      <w:bookmarkStart w:id="177" w:name="bookmark318"/>
      <w:r w:rsidRPr="00A14D29">
        <w:rPr>
          <w:rFonts w:ascii="Times New Roman" w:hAnsi="Times New Roman" w:cs="Times New Roman"/>
          <w:color w:val="049494"/>
          <w:sz w:val="24"/>
          <w:szCs w:val="24"/>
          <w:lang w:val="bg"/>
        </w:rPr>
        <w:t>Сигурност на данните</w:t>
      </w:r>
      <w:bookmarkEnd w:id="177"/>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Elhub поставя силен акцент върху сигурността на данните, за да защити целостта и поверителността на информацията, с която борави. Системата използва множество нива на мерки за сигурност, включително криптиране, удостоверяване и контрол на достъпа. Всички данни, предавани между участниците на пазара и Elhub, са криптирани с помощта на Transport Layer Security (TLS), за да се предотврати неоторизиран достъп по време на предаването. Освен това, Elhub използва WS-Security стандарти, за да гарантира, че съобщенията са сигурно подписани и криптирани.</w:t>
      </w:r>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Достъпът до системите на Elhub е строго контролиран чрез използването на сигурни методи за удостоверяване, като BankID, което гарантира, че само упълномощени потребители имат достъп до чувствителни данни. Elhub също така прилага ролеви контрол на достъпа (RBAC), за да ограничи достъпа до данни въз основа на ролята и отговорностите на потребителя. Това гарантира, че потребителите имат достъп само до данните, необходими за техните специфични задачи, свеждайки до минимум риска от неоторизиран достъп.</w:t>
      </w:r>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За да подобри допълнително сигурността, Elhub провежда редовни одити и оценки на сигурността, за да идентифицира и отстрани потенциалните уязвимости. Системата е проектирана така, че да отговаря на съответните разпоредби за защита на данните, включително Общия регламент относно защитата на данните (ОРЗД), като гарантира, че личните данни се обработват в съответствие със законовите изисквания.</w:t>
      </w:r>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Плановете на Elhub за възстановяване при бедствия включват редовни резервни копия на данни и прилагане на надеждни процедури за възстановяване, за да се гарантира наличността и целостта на данните в случай на повреда в системата. Тези мерки спомагат за поддържане на надеждността и устойчивостта на операциите на Elhub, като осигуряват увереност на участниците на пазара, че техните данни са сигурни и защитени.</w:t>
      </w:r>
    </w:p>
    <w:p w:rsidR="00D76E9D" w:rsidRDefault="00D76E9D" w:rsidP="007906A8">
      <w:pPr>
        <w:rPr>
          <w:lang w:val="bg"/>
        </w:rPr>
      </w:pPr>
    </w:p>
    <w:p w:rsidR="007906A8" w:rsidRPr="007906A8" w:rsidRDefault="007906A8" w:rsidP="007906A8">
      <w:pPr>
        <w:rPr>
          <w:lang w:val="bg"/>
        </w:rPr>
      </w:pPr>
      <w:r w:rsidRPr="007906A8">
        <w:rPr>
          <w:noProof/>
          <w:lang w:val="bg-BG" w:eastAsia="bg-BG"/>
        </w:rPr>
        <w:lastRenderedPageBreak/>
        <w:drawing>
          <wp:anchor distT="241300" distB="0" distL="0" distR="0" simplePos="0" relativeHeight="251671552" behindDoc="0" locked="0" layoutInCell="1" allowOverlap="1" wp14:anchorId="7859438B" wp14:editId="13812076">
            <wp:simplePos x="0" y="0"/>
            <wp:positionH relativeFrom="page">
              <wp:posOffset>2851150</wp:posOffset>
            </wp:positionH>
            <wp:positionV relativeFrom="paragraph">
              <wp:posOffset>241300</wp:posOffset>
            </wp:positionV>
            <wp:extent cx="1969135" cy="2127250"/>
            <wp:effectExtent l="0" t="0" r="0" b="0"/>
            <wp:wrapTopAndBottom/>
            <wp:docPr id="67" name="Форма 67"/>
            <wp:cNvGraphicFramePr/>
            <a:graphic xmlns:a="http://schemas.openxmlformats.org/drawingml/2006/main">
              <a:graphicData uri="http://schemas.openxmlformats.org/drawingml/2006/picture">
                <pic:pic xmlns:pic="http://schemas.openxmlformats.org/drawingml/2006/picture">
                  <pic:nvPicPr>
                    <pic:cNvPr id="68" name="Кутия за снимки 68"/>
                    <pic:cNvPicPr/>
                  </pic:nvPicPr>
                  <pic:blipFill>
                    <a:blip r:embed="rId28"/>
                    <a:stretch/>
                  </pic:blipFill>
                  <pic:spPr>
                    <a:xfrm>
                      <a:off x="0" y="0"/>
                      <a:ext cx="1969135" cy="2127250"/>
                    </a:xfrm>
                    <a:prstGeom prst="rect">
                      <a:avLst/>
                    </a:prstGeom>
                  </pic:spPr>
                </pic:pic>
              </a:graphicData>
            </a:graphic>
          </wp:anchor>
        </w:drawing>
      </w:r>
      <w:r w:rsidRPr="007906A8">
        <w:rPr>
          <w:noProof/>
          <w:lang w:val="bg-BG" w:eastAsia="bg-BG"/>
        </w:rPr>
        <w:drawing>
          <wp:anchor distT="320675" distB="12065" distL="0" distR="0" simplePos="0" relativeHeight="251672576" behindDoc="0" locked="0" layoutInCell="1" allowOverlap="1" wp14:anchorId="5BC7172C" wp14:editId="7FD0D7AF">
            <wp:simplePos x="0" y="0"/>
            <wp:positionH relativeFrom="page">
              <wp:posOffset>2991485</wp:posOffset>
            </wp:positionH>
            <wp:positionV relativeFrom="paragraph">
              <wp:posOffset>320675</wp:posOffset>
            </wp:positionV>
            <wp:extent cx="1664335" cy="2035810"/>
            <wp:effectExtent l="0" t="0" r="0" b="0"/>
            <wp:wrapTopAndBottom/>
            <wp:docPr id="69" name="Форма 69"/>
            <wp:cNvGraphicFramePr/>
            <a:graphic xmlns:a="http://schemas.openxmlformats.org/drawingml/2006/main">
              <a:graphicData uri="http://schemas.openxmlformats.org/drawingml/2006/picture">
                <pic:pic xmlns:pic="http://schemas.openxmlformats.org/drawingml/2006/picture">
                  <pic:nvPicPr>
                    <pic:cNvPr id="70" name="Кутия за снимки 70"/>
                    <pic:cNvPicPr/>
                  </pic:nvPicPr>
                  <pic:blipFill>
                    <a:blip r:embed="rId29"/>
                    <a:stretch/>
                  </pic:blipFill>
                  <pic:spPr>
                    <a:xfrm>
                      <a:off x="0" y="0"/>
                      <a:ext cx="1664335" cy="2035810"/>
                    </a:xfrm>
                    <a:prstGeom prst="rect">
                      <a:avLst/>
                    </a:prstGeom>
                  </pic:spPr>
                </pic:pic>
              </a:graphicData>
            </a:graphic>
          </wp:anchor>
        </w:drawing>
      </w:r>
    </w:p>
    <w:p w:rsidR="00D76E9D" w:rsidRDefault="00D76E9D" w:rsidP="00A14D29">
      <w:pPr>
        <w:spacing w:line="276" w:lineRule="auto"/>
        <w:jc w:val="both"/>
        <w:rPr>
          <w:rFonts w:ascii="Times New Roman" w:hAnsi="Times New Roman" w:cs="Times New Roman"/>
          <w:color w:val="049494"/>
          <w:sz w:val="24"/>
          <w:szCs w:val="24"/>
          <w:lang w:val="bg"/>
        </w:rPr>
      </w:pPr>
      <w:bookmarkStart w:id="178" w:name="bookmark320"/>
    </w:p>
    <w:p w:rsidR="007906A8" w:rsidRPr="00A14D29" w:rsidRDefault="007906A8" w:rsidP="00A14D29">
      <w:pPr>
        <w:spacing w:line="276" w:lineRule="auto"/>
        <w:jc w:val="both"/>
        <w:rPr>
          <w:rFonts w:ascii="Times New Roman" w:hAnsi="Times New Roman" w:cs="Times New Roman"/>
          <w:color w:val="049494"/>
          <w:sz w:val="24"/>
          <w:szCs w:val="24"/>
          <w:lang w:val="bg"/>
        </w:rPr>
      </w:pPr>
      <w:r w:rsidRPr="00A14D29">
        <w:rPr>
          <w:rFonts w:ascii="Times New Roman" w:hAnsi="Times New Roman" w:cs="Times New Roman"/>
          <w:color w:val="049494"/>
          <w:sz w:val="24"/>
          <w:szCs w:val="24"/>
          <w:lang w:val="bg"/>
        </w:rPr>
        <w:t>Набори от данни за публичен достъп</w:t>
      </w:r>
      <w:bookmarkEnd w:id="178"/>
    </w:p>
    <w:p w:rsidR="007906A8" w:rsidRPr="00A14D29" w:rsidRDefault="007906A8" w:rsidP="00A14D29">
      <w:pPr>
        <w:spacing w:line="276" w:lineRule="auto"/>
        <w:jc w:val="both"/>
        <w:rPr>
          <w:rFonts w:ascii="Times New Roman" w:hAnsi="Times New Roman" w:cs="Times New Roman"/>
          <w:sz w:val="24"/>
          <w:szCs w:val="24"/>
          <w:lang w:val="bg"/>
        </w:rPr>
      </w:pPr>
      <w:r w:rsidRPr="00A14D29">
        <w:rPr>
          <w:rFonts w:ascii="Times New Roman" w:hAnsi="Times New Roman" w:cs="Times New Roman"/>
          <w:sz w:val="24"/>
          <w:szCs w:val="24"/>
          <w:lang w:val="bg"/>
        </w:rPr>
        <w:t>Elhub предоставя няколко набора от данни за публичен достъп, предназначени да насърчават прозрачността, да подкрепят иновациите и да предоставят ценна информация за норвежкия пазар на електроенергия. Тези набори от данни включват обобщени данни за потреблението, които предоставят информация за потреблението на електроенергия в различните региони и периоди, и обобщени данни за производството, които съдържат информация за производството на електроенергия от различни източници, като например енергия от възобновяеми източници и традиционни електроцентрали. Данните за пазарните процеси включват информация за различни пазарни процеси, като например смяна на доставчика, промени в договора и събития в края на предлагането. Докладите за качеството на данните предоставят информация за качеството на данните, включително измервания и изчисления, и се използват за мониторинг и подобряване на качеството на данните, като се гарантира спазването на регулаторните стандарти и се подпомага вземането на решения въз основа на данни.</w:t>
      </w:r>
    </w:p>
    <w:p w:rsidR="00CF7C45" w:rsidRDefault="007906A8" w:rsidP="00B01311">
      <w:pPr>
        <w:pStyle w:val="ListParagraph"/>
        <w:numPr>
          <w:ilvl w:val="0"/>
          <w:numId w:val="87"/>
        </w:num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 xml:space="preserve">Обобщените данни за потреблението </w:t>
      </w:r>
      <w:r w:rsidRPr="00CF7C45">
        <w:rPr>
          <w:rFonts w:ascii="Times New Roman" w:hAnsi="Times New Roman" w:cs="Times New Roman"/>
          <w:sz w:val="24"/>
          <w:szCs w:val="24"/>
          <w:lang w:val="bg"/>
        </w:rPr>
        <w:t>предоставят обобщени данни за потреблението на електроенергия в различните региони и периоди от време. Тя включва почасови, дневни и месечни данни за потреблението. Наборът от данни може да се използва за анализ на пазара, изследвания и публична информация. Той помага за разбирането на моделите на потребление и тенденциите в различни области.</w:t>
      </w:r>
    </w:p>
    <w:p w:rsidR="00CF7C45" w:rsidRDefault="007906A8" w:rsidP="00B01311">
      <w:pPr>
        <w:pStyle w:val="ListParagraph"/>
        <w:numPr>
          <w:ilvl w:val="0"/>
          <w:numId w:val="87"/>
        </w:num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 xml:space="preserve">Обобщените данни за производството </w:t>
      </w:r>
      <w:r w:rsidRPr="00CF7C45">
        <w:rPr>
          <w:rFonts w:ascii="Times New Roman" w:hAnsi="Times New Roman" w:cs="Times New Roman"/>
          <w:sz w:val="24"/>
          <w:szCs w:val="24"/>
          <w:lang w:val="bg"/>
        </w:rPr>
        <w:t>съдържат обобщени данни за производството на електроенергия от различни източници, като например възобновяема енергия (вятърна, слънчева, водна) и традиционни електроцентрали. Наборът от данни е ценен за анализиране на тенденциите в производството, за подпомагане на решенията в областта на енергийната политика и за насърчаване на инициативи за енергия от възобновяеми източници.</w:t>
      </w:r>
    </w:p>
    <w:p w:rsidR="00CF7C45" w:rsidRDefault="007906A8" w:rsidP="00B01311">
      <w:pPr>
        <w:pStyle w:val="ListParagraph"/>
        <w:numPr>
          <w:ilvl w:val="0"/>
          <w:numId w:val="87"/>
        </w:num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 xml:space="preserve">Данните за пазарните процеси </w:t>
      </w:r>
      <w:r w:rsidRPr="00CF7C45">
        <w:rPr>
          <w:rFonts w:ascii="Times New Roman" w:hAnsi="Times New Roman" w:cs="Times New Roman"/>
          <w:sz w:val="24"/>
          <w:szCs w:val="24"/>
          <w:lang w:val="bg"/>
        </w:rPr>
        <w:t xml:space="preserve">включват данни за различни пазарни процеси, като например смяна на доставчика, промени в договора и събития в края на предлагането. Този набор от данни дава представа за динамиката на пазара на </w:t>
      </w:r>
      <w:r w:rsidRPr="00CF7C45">
        <w:rPr>
          <w:rFonts w:ascii="Times New Roman" w:hAnsi="Times New Roman" w:cs="Times New Roman"/>
          <w:sz w:val="24"/>
          <w:szCs w:val="24"/>
          <w:lang w:val="bg"/>
        </w:rPr>
        <w:lastRenderedPageBreak/>
        <w:t>електроенергия и може да се използва за разбиране на пазарните дейности, подобряване на пазарната ефективност и подпомагане на регулаторния надзор.</w:t>
      </w:r>
    </w:p>
    <w:p w:rsidR="007906A8" w:rsidRPr="00CF7C45" w:rsidRDefault="007906A8" w:rsidP="00B01311">
      <w:pPr>
        <w:pStyle w:val="ListParagraph"/>
        <w:numPr>
          <w:ilvl w:val="0"/>
          <w:numId w:val="87"/>
        </w:num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 xml:space="preserve">Докладите за качеството на данните </w:t>
      </w:r>
      <w:r w:rsidRPr="00CF7C45">
        <w:rPr>
          <w:rFonts w:ascii="Times New Roman" w:hAnsi="Times New Roman" w:cs="Times New Roman"/>
          <w:sz w:val="24"/>
          <w:szCs w:val="24"/>
          <w:lang w:val="bg"/>
        </w:rPr>
        <w:t>предоставят информация за качеството на данните, включително измервания и изчисления. Той включва доклади относно пълнотата, точността и навременността на данните и може да се използва за наблюдение и подобряване на качеството на данните, осигуряване на съответствие с регулаторните стандарти и подпомагане на вземането на решения въз основа на данни.</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Публичните набори от данни са достъпни чрез портала за API на Elhub. Порталът предоставя подробна документация за начина на достъп и използване на приложно-програмните интерфейси. Някои набори от данни са достъпни като файлове за изтегляне директно от уебсайта на Elhub. Тези файлове могат да се използват за офлайн анализи и изследвания.</w:t>
      </w:r>
    </w:p>
    <w:p w:rsidR="00F015E5" w:rsidRDefault="007906A8" w:rsidP="00FA57D1">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Наборите от данни за публичния достъп включват потребление, разделено на различни региони и групи на потребление. Регионите са, за всяка ценова зона, за всяка зона на населено място в мрежата и за всяка община, а групите на потребление са първична, вторична и третична промишленост, домакинства и отдих. Последното включва ваканционни жилища и съоръжения за отдих. За да се даде възможност за правилно анонимизиране на наборите от данни, в набора от данни за уреждане на електроенергийната мрежа има най-малко 5000 измервателни точки. По същата причина наборът от данни за общината е разделен на три групи на потребление — частна (домакинства и отдих), стопанска дейност (третична промишленост) и промишленост (пъ</w:t>
      </w:r>
      <w:r w:rsidR="00CF7C45">
        <w:rPr>
          <w:rFonts w:ascii="Times New Roman" w:hAnsi="Times New Roman" w:cs="Times New Roman"/>
          <w:sz w:val="24"/>
          <w:szCs w:val="24"/>
          <w:lang w:val="bg"/>
        </w:rPr>
        <w:t>рвична и вторична промишленост)</w:t>
      </w:r>
      <w:bookmarkStart w:id="179" w:name="bookmark323"/>
      <w:bookmarkStart w:id="180" w:name="bookmark322"/>
    </w:p>
    <w:p w:rsidR="00F015E5" w:rsidRDefault="00F015E5" w:rsidP="00FA57D1">
      <w:pPr>
        <w:spacing w:line="276" w:lineRule="auto"/>
        <w:jc w:val="both"/>
        <w:rPr>
          <w:rFonts w:ascii="Times New Roman" w:hAnsi="Times New Roman" w:cs="Times New Roman"/>
          <w:sz w:val="24"/>
          <w:szCs w:val="24"/>
          <w:lang w:val="bg"/>
        </w:rPr>
      </w:pPr>
    </w:p>
    <w:p w:rsidR="007906A8" w:rsidRPr="00F015E5" w:rsidRDefault="007906A8" w:rsidP="00FA57D1">
      <w:pPr>
        <w:spacing w:line="276" w:lineRule="auto"/>
        <w:jc w:val="both"/>
        <w:rPr>
          <w:rFonts w:ascii="Times New Roman" w:hAnsi="Times New Roman" w:cs="Times New Roman"/>
          <w:color w:val="049494"/>
          <w:sz w:val="24"/>
          <w:szCs w:val="24"/>
          <w:lang w:val="bg"/>
        </w:rPr>
      </w:pPr>
      <w:r w:rsidRPr="00F015E5">
        <w:rPr>
          <w:rFonts w:ascii="Times New Roman" w:hAnsi="Times New Roman" w:cs="Times New Roman"/>
          <w:color w:val="049494"/>
          <w:sz w:val="24"/>
          <w:szCs w:val="24"/>
          <w:lang w:val="bg"/>
        </w:rPr>
        <w:t>Сравнителен анализ спрямо България и препоръки</w:t>
      </w:r>
      <w:bookmarkEnd w:id="179"/>
      <w:bookmarkEnd w:id="180"/>
    </w:p>
    <w:p w:rsidR="00CE6D3C" w:rsidRPr="00CE6D3C" w:rsidRDefault="00CE6D3C" w:rsidP="00CE6D3C">
      <w:pPr>
        <w:pStyle w:val="ListParagraph"/>
        <w:ind w:left="840"/>
        <w:rPr>
          <w:lang w:val="bg"/>
        </w:rPr>
      </w:pP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След поредица от консултации с ключови български участници и тестване на ограниченията с операторите на разпределителни системи на това, което е осъществимо в краткосрочен и дългосрочен план, нашият екип достигна до следното предложение за обмен на данни, което според нас ще даде възможност както за модели на произвеждащи потребители, така и за модели на енергийна общност в България, като същевременно се избягва прекомерната предварителна тежест за операторите на разпределителни системи или публичните бюджети. По този начин, в крайна сметка за потребителите и данъкоплатците.</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Elhub е добре развита платформа и нейната архитектура е свободна да вдъхновява и копира за всички. Разбира се, адаптирането към местните условия и поддържането на такава платформа е постоянно начинание, поради което препоръчваме постепенен подход, който ще даде възможност за бързо стартиране на благоприятстващи практики, като същевременно дългосрочната цел за общонационална платформа остава достъпна и достъпна. Ние илюстрираме желаните граници чрез описанието по-долу, където имаме производство на енергия от ВЕИ при един ОРС и потребление на тази енергия при друг ОРС. Опростените договорености, при които мястото на производство и мястото на потребление са близки или съвпадат, попадат в този обхват.</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lastRenderedPageBreak/>
        <w:t>Актьори в модела:</w:t>
      </w:r>
    </w:p>
    <w:p w:rsidR="00CF7C45" w:rsidRP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Потребител — жилищен участник или участник МСП с интелигентен измервателен уред (съгласно оператор на разпределителна система А)</w:t>
      </w:r>
    </w:p>
    <w:p w:rsidR="00CF7C45" w:rsidRP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Производител на ВЕИ/Енергийна общност — притежава или е съсобственик на централата за ВЕИ (свързана с ОРС Б)</w:t>
      </w:r>
    </w:p>
    <w:p w:rsidR="00CF7C45" w:rsidRP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Търговец/агрегатор — лицензиран участник на пазара, управляващ балансирането, фактурирането, обмена на данни и логистиката за споделяне на енергия.</w:t>
      </w:r>
    </w:p>
    <w:p w:rsidR="00CF7C45" w:rsidRP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BG"/>
        </w:rPr>
        <w:t>ОРС А</w:t>
      </w:r>
      <w:r w:rsidRPr="00CF7C45">
        <w:rPr>
          <w:rFonts w:ascii="Times New Roman" w:hAnsi="Times New Roman" w:cs="Times New Roman"/>
          <w:sz w:val="24"/>
          <w:szCs w:val="24"/>
          <w:lang w:val="bg"/>
        </w:rPr>
        <w:t xml:space="preserve"> &amp; ОРС Б – отговарящ за валидираните показания на измервателните уреди и оповестяването на данни.</w:t>
      </w:r>
    </w:p>
    <w:p w:rsidR="00CF7C45" w:rsidRP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ЕСО / БНЕБ / Пазарен оператор - наблюдава балансирането, заявките и финансовия сетълмент.</w:t>
      </w:r>
    </w:p>
    <w:p w:rsidR="00CF7C45" w:rsidRDefault="007906A8" w:rsidP="00B01311">
      <w:pPr>
        <w:pStyle w:val="ListParagraph"/>
        <w:numPr>
          <w:ilvl w:val="0"/>
          <w:numId w:val="88"/>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КЕВР — националният регулатор, отговарящ за определянето на тарифите, одобряването на пазарните правила, издаването на лицензи и надзора върху дейността на операторите на преносни системи и операторите на разпределителни системи</w:t>
      </w:r>
      <w:bookmarkStart w:id="181" w:name="bookmark326"/>
      <w:bookmarkStart w:id="182" w:name="bookmark325"/>
    </w:p>
    <w:p w:rsidR="007906A8" w:rsidRDefault="007906A8" w:rsidP="00B01311">
      <w:pPr>
        <w:pStyle w:val="Heading3"/>
        <w:numPr>
          <w:ilvl w:val="2"/>
          <w:numId w:val="87"/>
        </w:numPr>
        <w:spacing w:line="276" w:lineRule="auto"/>
        <w:jc w:val="both"/>
        <w:rPr>
          <w:rFonts w:ascii="Times New Roman" w:hAnsi="Times New Roman" w:cs="Times New Roman"/>
          <w:color w:val="049494"/>
          <w:sz w:val="28"/>
          <w:szCs w:val="28"/>
          <w:lang w:val="bg"/>
        </w:rPr>
      </w:pPr>
      <w:bookmarkStart w:id="183" w:name="_Toc203141290"/>
      <w:r w:rsidRPr="00CF7C45">
        <w:rPr>
          <w:rFonts w:ascii="Times New Roman" w:hAnsi="Times New Roman" w:cs="Times New Roman"/>
          <w:color w:val="049494"/>
          <w:sz w:val="28"/>
          <w:szCs w:val="28"/>
          <w:lang w:val="bg"/>
        </w:rPr>
        <w:t>Потребление на електроенергия от различни оператори на разпределителни системи чрез търговец/агрегатор на енергия в България</w:t>
      </w:r>
      <w:bookmarkEnd w:id="181"/>
      <w:bookmarkEnd w:id="182"/>
      <w:bookmarkEnd w:id="183"/>
    </w:p>
    <w:p w:rsidR="00F015E5" w:rsidRPr="00F015E5" w:rsidRDefault="00F015E5" w:rsidP="00F015E5">
      <w:pPr>
        <w:rPr>
          <w:lang w:val="bg"/>
        </w:rPr>
      </w:pPr>
    </w:p>
    <w:p w:rsidR="00CF7C45" w:rsidRPr="00CF7C45" w:rsidRDefault="00CF7C45" w:rsidP="00CF7C45">
      <w:pPr>
        <w:rPr>
          <w:lang w:val="bg"/>
        </w:rPr>
      </w:pPr>
    </w:p>
    <w:p w:rsidR="007906A8" w:rsidRPr="00B058AD" w:rsidRDefault="007906A8" w:rsidP="007906A8">
      <w:pPr>
        <w:rPr>
          <w:rFonts w:ascii="Times New Roman" w:hAnsi="Times New Roman" w:cs="Times New Roman"/>
          <w:color w:val="049494"/>
          <w:sz w:val="24"/>
          <w:szCs w:val="24"/>
          <w:lang w:val="bg"/>
        </w:rPr>
      </w:pPr>
      <w:r w:rsidRPr="00B058AD">
        <w:rPr>
          <w:rFonts w:ascii="Times New Roman" w:hAnsi="Times New Roman" w:cs="Times New Roman"/>
          <w:b/>
          <w:bCs/>
          <w:color w:val="049494"/>
          <w:sz w:val="24"/>
          <w:szCs w:val="24"/>
          <w:lang w:val="bg"/>
        </w:rPr>
        <w:t>Преглед на сценариите</w:t>
      </w:r>
    </w:p>
    <w:p w:rsidR="00CF7C45" w:rsidRDefault="007906A8" w:rsidP="00B01311">
      <w:pPr>
        <w:pStyle w:val="ListParagraph"/>
        <w:numPr>
          <w:ilvl w:val="0"/>
          <w:numId w:val="89"/>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Произвеждащ потребител (лице А) е свързан към мрежата на ОРС А.</w:t>
      </w:r>
    </w:p>
    <w:p w:rsidR="00CF7C45" w:rsidRDefault="007906A8" w:rsidP="00B01311">
      <w:pPr>
        <w:pStyle w:val="ListParagraph"/>
        <w:numPr>
          <w:ilvl w:val="0"/>
          <w:numId w:val="89"/>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Лице А притежава дялове в централа за ВЕИ (напр. фотоволтаичен парк), свързана с мрежата на ОРС Б.</w:t>
      </w:r>
    </w:p>
    <w:p w:rsidR="007906A8" w:rsidRPr="00CF7C45" w:rsidRDefault="007906A8" w:rsidP="00B01311">
      <w:pPr>
        <w:pStyle w:val="ListParagraph"/>
        <w:numPr>
          <w:ilvl w:val="0"/>
          <w:numId w:val="89"/>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Търговец на енергия/доставчик на агрегирани услуги действа като посредник, за да съпостави дела на производство на лице А с неговото потребление и да се справи с участието на пазара и уреждането на спорове. Търговецът/доставчикът на агрегирани услуги управлява енергийните потоци и административните процеси в рамките на двата ОРС.</w:t>
      </w:r>
    </w:p>
    <w:p w:rsidR="007906A8" w:rsidRPr="00CF7C45" w:rsidRDefault="007906A8" w:rsidP="007906A8">
      <w:pPr>
        <w:rPr>
          <w:rFonts w:ascii="Times New Roman" w:hAnsi="Times New Roman" w:cs="Times New Roman"/>
          <w:sz w:val="24"/>
          <w:szCs w:val="24"/>
          <w:lang w:val="bg"/>
        </w:rPr>
      </w:pPr>
      <w:r w:rsidRPr="00CF7C45">
        <w:rPr>
          <w:rFonts w:ascii="Times New Roman" w:hAnsi="Times New Roman" w:cs="Times New Roman"/>
          <w:b/>
          <w:bCs/>
          <w:sz w:val="24"/>
          <w:szCs w:val="24"/>
          <w:lang w:val="bg"/>
        </w:rPr>
        <w:t>Стъпка 1: Установено отношение на презумпция</w:t>
      </w:r>
    </w:p>
    <w:p w:rsidR="00CF7C45" w:rsidRDefault="007906A8" w:rsidP="00B01311">
      <w:pPr>
        <w:pStyle w:val="ListParagraph"/>
        <w:numPr>
          <w:ilvl w:val="0"/>
          <w:numId w:val="90"/>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Лице А се присъединява към енергийна общност или сключва СЗЕ или виртуално споразумение за нетно измерване с централата за ВЕИ. Моделът може да бъде толкова прост, колкото едно лице, което притежава фотоволтаична инсталация на покрива или парцела на своя дом през уикенда, докато същото лице може да консумира тази енергия на същото място или докато е в градската си база.</w:t>
      </w:r>
    </w:p>
    <w:p w:rsidR="007906A8" w:rsidRPr="00CF7C45" w:rsidRDefault="007906A8" w:rsidP="00B01311">
      <w:pPr>
        <w:pStyle w:val="ListParagraph"/>
        <w:numPr>
          <w:ilvl w:val="0"/>
          <w:numId w:val="90"/>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Собствеността или договорното право върху част от производството на енергия от ВЕИ се документира и валидира (напр. 10 % от произведената слънчева централа с мощност 500 kW).</w:t>
      </w:r>
    </w:p>
    <w:p w:rsidR="007906A8" w:rsidRPr="00CF7C45" w:rsidRDefault="007906A8" w:rsidP="00CF7C45">
      <w:pPr>
        <w:spacing w:line="276" w:lineRule="auto"/>
        <w:rPr>
          <w:rFonts w:ascii="Times New Roman" w:hAnsi="Times New Roman" w:cs="Times New Roman"/>
          <w:sz w:val="24"/>
          <w:szCs w:val="24"/>
          <w:lang w:val="bg"/>
        </w:rPr>
      </w:pPr>
      <w:r w:rsidRPr="00CF7C45">
        <w:rPr>
          <w:rFonts w:ascii="Times New Roman" w:hAnsi="Times New Roman" w:cs="Times New Roman"/>
          <w:b/>
          <w:bCs/>
          <w:sz w:val="24"/>
          <w:szCs w:val="24"/>
          <w:lang w:val="bg"/>
        </w:rPr>
        <w:t>Стъпка 2: Съвпадения и баланси между търговци на енергия и доставчици на агрегирани услуги</w:t>
      </w:r>
    </w:p>
    <w:p w:rsidR="00CF7C45" w:rsidRDefault="007906A8" w:rsidP="00B01311">
      <w:pPr>
        <w:pStyle w:val="ListParagraph"/>
        <w:numPr>
          <w:ilvl w:val="0"/>
          <w:numId w:val="91"/>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lastRenderedPageBreak/>
        <w:t>Агрегаторът/търговецът обединява производството на ВЕИ и профилите на потребление на своите клиенти.</w:t>
      </w:r>
    </w:p>
    <w:p w:rsidR="007906A8" w:rsidRPr="00CF7C45" w:rsidRDefault="007906A8" w:rsidP="00B01311">
      <w:pPr>
        <w:pStyle w:val="ListParagraph"/>
        <w:numPr>
          <w:ilvl w:val="0"/>
          <w:numId w:val="91"/>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Те съответстват на виртуалния дял на производство на лице А спрямо неговото потребление.</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Стъпка 3: Измерване и обмен на данни с операторите на разпределителни системи</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Интелигентни измервателни уреди — двупосочни или в случай на отделено от производството и потреблението потребление в двата края (завод за ВЕИ и произвеждащи потребители) записват данни за производството и потреблението; записването на профила на часовото потребление следва да бъде достатъчна първа стъпка, но в бъдеще това в идеалния случай ще се извършва на интервали от 15 минути.</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ОРС събират и валидират тези данни и ги предоставят на потребителя и на трета страна - търговец на енергия, въз основа на изрично съгласие на потребителя (в идеалния случай процедурата следва да бъде проста, бърза и рационализирана).</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Това позволява на търговеца да:</w:t>
      </w:r>
    </w:p>
    <w:p w:rsidR="00CF7C45" w:rsidRDefault="007906A8" w:rsidP="00B01311">
      <w:pPr>
        <w:pStyle w:val="ListParagraph"/>
        <w:numPr>
          <w:ilvl w:val="0"/>
          <w:numId w:val="92"/>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Уреждане на нетното потребление за лице А.</w:t>
      </w:r>
    </w:p>
    <w:p w:rsidR="00CF7C45" w:rsidRDefault="007906A8" w:rsidP="00B01311">
      <w:pPr>
        <w:pStyle w:val="ListParagraph"/>
        <w:numPr>
          <w:ilvl w:val="0"/>
          <w:numId w:val="92"/>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Докладвайте дисбалансите и прогнозирайте по-добре.</w:t>
      </w:r>
    </w:p>
    <w:p w:rsidR="007906A8" w:rsidRPr="00CF7C45" w:rsidRDefault="007906A8" w:rsidP="00B01311">
      <w:pPr>
        <w:pStyle w:val="ListParagraph"/>
        <w:numPr>
          <w:ilvl w:val="0"/>
          <w:numId w:val="92"/>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Предоставяне на услуги за гъвкавост, ако е необходимо.</w:t>
      </w:r>
    </w:p>
    <w:p w:rsid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Според настоящата практика тези данни се събират веднъж месечно, а не в реално време. Това осигурява динамичен потребителски профил, който е ретроспективен и все още може да бъде сравнен с динамичното ценообразуване на пазара през изминалия месец. Това оставя една голяма празнина - как да се предоставят ценови сигнали в реално време на потребителите, така че те да могат да коригират потреблението си. Докато в България не бъде въведено предаване на данни в реално време или почти в реално време, предлагаме следното решение, за чието развитие един или повече търговци на енергия могат да инвестират:</w:t>
      </w:r>
    </w:p>
    <w:p w:rsidR="00CF7C45" w:rsidRDefault="007906A8" w:rsidP="00B01311">
      <w:pPr>
        <w:pStyle w:val="ListParagraph"/>
        <w:numPr>
          <w:ilvl w:val="0"/>
          <w:numId w:val="93"/>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За целите на балансирането търговецът на енергия предоставя (напр. чрез приложение) информация за цените на електроенергията на пазара за ден напред и на спот пазара, така че потребителят да бъде изложен на ценовите сигнали чрез динамично ценообразуване и да може да планира потреблението си, когато цените са ниски (излишно производство на електроенергия), и да избягва потреблението, когато цените са високи (върхово търсене на електроенергия). В идеалния случай платформата, която предоставя ценовата информация, е съвместима с всички видове интелигентни приложения като интелигентни устройства, интелигентно зареждане, съхранение и др.</w:t>
      </w:r>
    </w:p>
    <w:p w:rsidR="007906A8" w:rsidRPr="00CF7C45" w:rsidRDefault="007906A8" w:rsidP="00B01311">
      <w:pPr>
        <w:pStyle w:val="ListParagraph"/>
        <w:numPr>
          <w:ilvl w:val="0"/>
          <w:numId w:val="93"/>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След това в края на даден период потребителският профил се съпоставя с потребителския профил за същия период, предоставен от платформата на ОРС.</w:t>
      </w:r>
    </w:p>
    <w:p w:rsidR="007906A8" w:rsidRDefault="007906A8" w:rsidP="00B01311">
      <w:pPr>
        <w:pStyle w:val="Heading3"/>
        <w:numPr>
          <w:ilvl w:val="2"/>
          <w:numId w:val="87"/>
        </w:numPr>
        <w:spacing w:line="276" w:lineRule="auto"/>
        <w:jc w:val="both"/>
        <w:rPr>
          <w:rFonts w:ascii="Times New Roman" w:hAnsi="Times New Roman" w:cs="Times New Roman"/>
          <w:color w:val="049494"/>
          <w:sz w:val="28"/>
          <w:szCs w:val="28"/>
          <w:lang w:val="bg"/>
        </w:rPr>
      </w:pPr>
      <w:bookmarkStart w:id="184" w:name="bookmark329"/>
      <w:bookmarkStart w:id="185" w:name="bookmark328"/>
      <w:bookmarkStart w:id="186" w:name="_Toc203141291"/>
      <w:r w:rsidRPr="00CF7C45">
        <w:rPr>
          <w:rFonts w:ascii="Times New Roman" w:hAnsi="Times New Roman" w:cs="Times New Roman"/>
          <w:color w:val="049494"/>
          <w:sz w:val="28"/>
          <w:szCs w:val="28"/>
          <w:lang w:val="bg"/>
        </w:rPr>
        <w:t>Промяна на търговеца на енергия: Как трябва да работи достъпът до данни</w:t>
      </w:r>
      <w:bookmarkEnd w:id="184"/>
      <w:bookmarkEnd w:id="185"/>
      <w:r w:rsidR="00CE6D3C">
        <w:rPr>
          <w:rFonts w:ascii="Times New Roman" w:hAnsi="Times New Roman" w:cs="Times New Roman"/>
          <w:color w:val="049494"/>
          <w:sz w:val="28"/>
          <w:szCs w:val="28"/>
          <w:lang w:val="bg"/>
        </w:rPr>
        <w:t>.</w:t>
      </w:r>
      <w:bookmarkEnd w:id="186"/>
    </w:p>
    <w:p w:rsidR="00CE6D3C" w:rsidRPr="00CE6D3C" w:rsidRDefault="00CE6D3C" w:rsidP="00CE6D3C">
      <w:pPr>
        <w:pStyle w:val="ListParagraph"/>
        <w:ind w:left="1080"/>
        <w:rPr>
          <w:lang w:val="bg"/>
        </w:rPr>
      </w:pP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Стъпка 1: Съгласие на клиента за споделяне на данни</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lastRenderedPageBreak/>
        <w:t>Лице А упълномощава нов търговец на енергия/доставчик на агрегирани услуги (търговец Б) да получи достъп до техните данни от интелигентни измервателни уреди от ОРС А. Това съгласие се регистрира чрез стандартизиран формуляр за съгласие и се отразява в центъра за данни на ОРС, където се събират и разполагат данните от измерването.</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b/>
          <w:bCs/>
          <w:sz w:val="24"/>
          <w:szCs w:val="24"/>
          <w:lang w:val="bg"/>
        </w:rPr>
        <w:t xml:space="preserve">Стъпка 2: ОРС </w:t>
      </w:r>
      <w:r w:rsidRPr="00B058AD">
        <w:rPr>
          <w:rFonts w:ascii="Times New Roman" w:hAnsi="Times New Roman" w:cs="Times New Roman"/>
          <w:b/>
          <w:bCs/>
          <w:sz w:val="24"/>
          <w:szCs w:val="24"/>
          <w:lang w:val="bg-BG"/>
        </w:rPr>
        <w:t xml:space="preserve">Нотифицирано </w:t>
      </w:r>
      <w:r w:rsidRPr="00CF7C45">
        <w:rPr>
          <w:rFonts w:ascii="Times New Roman" w:hAnsi="Times New Roman" w:cs="Times New Roman"/>
          <w:b/>
          <w:bCs/>
          <w:sz w:val="24"/>
          <w:szCs w:val="24"/>
          <w:lang w:val="bg"/>
        </w:rPr>
        <w:t>за превключване</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При преминаване към друг оператор на разпределителна система А автоматично се уведомява чрез платформата. ОРС отнема достъпа на търговец А и предоставя достъп на търговец Б на:</w:t>
      </w:r>
    </w:p>
    <w:p w:rsidR="00CF7C45" w:rsidRDefault="007906A8" w:rsidP="00B01311">
      <w:pPr>
        <w:pStyle w:val="ListParagraph"/>
        <w:numPr>
          <w:ilvl w:val="0"/>
          <w:numId w:val="94"/>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валидирани данни за минали периоди (до 13 месеца съгласно насоките на ЕС).</w:t>
      </w:r>
    </w:p>
    <w:p w:rsidR="007906A8" w:rsidRPr="00CF7C45" w:rsidRDefault="007906A8" w:rsidP="00B01311">
      <w:pPr>
        <w:pStyle w:val="ListParagraph"/>
        <w:numPr>
          <w:ilvl w:val="0"/>
          <w:numId w:val="94"/>
        </w:num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Бъдещи събрани данни за потреблението и текущи данни за профила на потреблението/натоварването, докато клиентът не поиска смяна на друг доставчик.</w:t>
      </w:r>
    </w:p>
    <w:p w:rsidR="007906A8" w:rsidRPr="00CF7C45" w:rsidRDefault="007906A8" w:rsidP="00CF7C45">
      <w:pPr>
        <w:spacing w:line="276" w:lineRule="auto"/>
        <w:jc w:val="both"/>
        <w:rPr>
          <w:rFonts w:ascii="Times New Roman" w:hAnsi="Times New Roman" w:cs="Times New Roman"/>
          <w:sz w:val="24"/>
          <w:szCs w:val="24"/>
          <w:lang w:val="bg"/>
        </w:rPr>
      </w:pPr>
      <w:r w:rsidRPr="00CF7C45">
        <w:rPr>
          <w:rFonts w:ascii="Times New Roman" w:hAnsi="Times New Roman" w:cs="Times New Roman"/>
          <w:sz w:val="24"/>
          <w:szCs w:val="24"/>
          <w:lang w:val="bg"/>
        </w:rPr>
        <w:t>Препоръчваме въвеждането на определен преходен период (напр. 10 работни дни), който позволява правилно предаване на данните и финализиране на фактурирането. След това търговец Б става активен партньор, отговорен за балансирането, фактурирането и управлението на енергийните потоци на лице А.</w:t>
      </w:r>
    </w:p>
    <w:p w:rsidR="007906A8" w:rsidRDefault="007906A8" w:rsidP="00B01311">
      <w:pPr>
        <w:pStyle w:val="Heading3"/>
        <w:numPr>
          <w:ilvl w:val="2"/>
          <w:numId w:val="87"/>
        </w:numPr>
        <w:spacing w:line="276" w:lineRule="auto"/>
        <w:jc w:val="both"/>
        <w:rPr>
          <w:rFonts w:ascii="Times New Roman" w:hAnsi="Times New Roman" w:cs="Times New Roman"/>
          <w:color w:val="049494"/>
          <w:sz w:val="28"/>
          <w:szCs w:val="28"/>
          <w:lang w:val="bg"/>
        </w:rPr>
      </w:pPr>
      <w:bookmarkStart w:id="187" w:name="bookmark332"/>
      <w:bookmarkStart w:id="188" w:name="bookmark331"/>
      <w:bookmarkStart w:id="189" w:name="_Toc203141292"/>
      <w:r w:rsidRPr="009B37DC">
        <w:rPr>
          <w:rFonts w:ascii="Times New Roman" w:hAnsi="Times New Roman" w:cs="Times New Roman"/>
          <w:color w:val="049494"/>
          <w:sz w:val="28"/>
          <w:szCs w:val="28"/>
          <w:lang w:val="bg"/>
        </w:rPr>
        <w:t>Спецификация на необходимата платформа</w:t>
      </w:r>
      <w:bookmarkEnd w:id="187"/>
      <w:bookmarkEnd w:id="188"/>
      <w:bookmarkEnd w:id="189"/>
    </w:p>
    <w:p w:rsidR="00CE6D3C" w:rsidRPr="00CE6D3C" w:rsidRDefault="00CE6D3C" w:rsidP="00CE6D3C">
      <w:pPr>
        <w:pStyle w:val="ListParagraph"/>
        <w:ind w:left="1080"/>
        <w:rPr>
          <w:lang w:val="bg"/>
        </w:rPr>
      </w:pPr>
    </w:p>
    <w:p w:rsidR="007906A8" w:rsidRPr="009B37DC" w:rsidRDefault="007906A8" w:rsidP="009B37DC">
      <w:p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Тя може да започне като отделни платформи, управлявани от всеки ОРС. Ще бъде по-рентабилно, ако операторите на разпределителни системи разработват съвместно своята платформа за данни около една и съща архитектура и обмислят възможността платформите да се обединят под обща платформа в бъдеще — управлявана от правителствена агенция или съсобственост на операторите на разпределителни системи. Регламентите на ЕС изискват платформата за данни да съхранява данни в продължение на 13 месеца.</w:t>
      </w:r>
    </w:p>
    <w:p w:rsidR="007906A8" w:rsidRPr="009B37DC" w:rsidRDefault="007906A8" w:rsidP="00B058AD">
      <w:p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Необходими са най-малко две платформи — една от операторите на разпределителни системи (или съвместно разработена от операторите на разпределителни системи, въпреки че се управлява от 3 различни платформи), която събира и предоставя проверените динамични профили на производителите/потребителите. Другата платформа също би могла да бъде разработена съвместно от търговците на енергия, но да се управлява от всеки търговец, тъй като цените на енергията, получени от всеки търговец, биха могли да се различават — тази платформа изисква потребителски интерфейс (напр. приложение), който би позволил на търговеца да предостави на клиента прогноза за ценообразуването на пазарната цена за ден напред и в реално време, така че клиентът да може да коригира потреблението в зависимост от моментите на свръхпроизводство или недостиг на енергия. Някои примери за платформи на търговци в Норвегия, които предоставят приложения за крайните</w:t>
      </w:r>
      <w:r w:rsidR="009B37DC">
        <w:rPr>
          <w:rFonts w:ascii="Times New Roman" w:hAnsi="Times New Roman" w:cs="Times New Roman"/>
          <w:sz w:val="24"/>
          <w:szCs w:val="24"/>
          <w:lang w:val="bg"/>
        </w:rPr>
        <w:t xml:space="preserve"> </w:t>
      </w:r>
      <w:r w:rsidRPr="009B37DC">
        <w:rPr>
          <w:rFonts w:ascii="Times New Roman" w:hAnsi="Times New Roman" w:cs="Times New Roman"/>
          <w:sz w:val="24"/>
          <w:szCs w:val="24"/>
          <w:lang w:val="bg"/>
        </w:rPr>
        <w:softHyphen/>
        <w:t>потребители с възможност за включване на интелигентно управление на енергията, са Tibber, Fjordkraft, Smart Energi. Освен това съществуват платформи, които предоставят сравнение и улесняват избора и смяната на търговеца от страна на клиентите — например Strøm.no и Bytt.no</w:t>
      </w:r>
      <w:r w:rsidRPr="009B37DC">
        <w:rPr>
          <w:rFonts w:ascii="Times New Roman" w:hAnsi="Times New Roman" w:cs="Times New Roman"/>
          <w:sz w:val="24"/>
          <w:szCs w:val="24"/>
          <w:vertAlign w:val="superscript"/>
          <w:lang w:val="bg"/>
        </w:rPr>
        <w:t>57</w:t>
      </w:r>
      <w:r w:rsidRPr="009B37DC">
        <w:rPr>
          <w:rFonts w:ascii="Times New Roman" w:hAnsi="Times New Roman" w:cs="Times New Roman"/>
          <w:sz w:val="24"/>
          <w:szCs w:val="24"/>
          <w:lang w:val="bg"/>
        </w:rPr>
        <w:t xml:space="preserve"> (Норвегия) и Elca.bg</w:t>
      </w:r>
      <w:r w:rsidRPr="009B37DC">
        <w:rPr>
          <w:rFonts w:ascii="Times New Roman" w:hAnsi="Times New Roman" w:cs="Times New Roman"/>
          <w:sz w:val="24"/>
          <w:szCs w:val="24"/>
          <w:vertAlign w:val="superscript"/>
          <w:lang w:val="bg"/>
        </w:rPr>
        <w:t>58</w:t>
      </w:r>
      <w:r w:rsidRPr="009B37DC">
        <w:rPr>
          <w:rFonts w:ascii="Times New Roman" w:hAnsi="Times New Roman" w:cs="Times New Roman"/>
          <w:sz w:val="24"/>
          <w:szCs w:val="24"/>
          <w:lang w:val="bg"/>
        </w:rPr>
        <w:t xml:space="preserve"> (в България). Промяната на оповестяването от трета страна следва да бъде осъществима (напр. клиентът променя търговеца на енергия).</w:t>
      </w:r>
    </w:p>
    <w:p w:rsidR="007906A8" w:rsidRPr="007906A8" w:rsidRDefault="007906A8" w:rsidP="007906A8">
      <w:pPr>
        <w:rPr>
          <w:b/>
          <w:bCs/>
          <w:lang w:val="bg"/>
        </w:rPr>
      </w:pPr>
    </w:p>
    <w:p w:rsidR="007906A8" w:rsidRPr="00CE6D3C" w:rsidRDefault="007906A8" w:rsidP="00CE6D3C">
      <w:pPr>
        <w:pStyle w:val="Heading1"/>
        <w:spacing w:line="360" w:lineRule="auto"/>
        <w:jc w:val="both"/>
        <w:rPr>
          <w:rFonts w:ascii="Times New Roman" w:hAnsi="Times New Roman" w:cs="Times New Roman"/>
          <w:color w:val="049494"/>
          <w:lang w:val="bg"/>
        </w:rPr>
      </w:pPr>
      <w:bookmarkStart w:id="190" w:name="bookmark335"/>
      <w:bookmarkStart w:id="191" w:name="bookmark334"/>
      <w:bookmarkStart w:id="192" w:name="_Toc203141293"/>
      <w:r w:rsidRPr="00CE6D3C">
        <w:rPr>
          <w:rFonts w:ascii="Times New Roman" w:hAnsi="Times New Roman" w:cs="Times New Roman"/>
          <w:color w:val="049494"/>
          <w:lang w:val="bg"/>
        </w:rPr>
        <w:lastRenderedPageBreak/>
        <w:t>5</w:t>
      </w:r>
      <w:r w:rsidR="00CE6D3C">
        <w:rPr>
          <w:rFonts w:ascii="Times New Roman" w:hAnsi="Times New Roman" w:cs="Times New Roman"/>
          <w:color w:val="049494"/>
          <w:lang w:val="bg"/>
        </w:rPr>
        <w:t>.</w:t>
      </w:r>
      <w:r w:rsidRPr="00CE6D3C">
        <w:rPr>
          <w:rFonts w:ascii="Times New Roman" w:hAnsi="Times New Roman" w:cs="Times New Roman"/>
          <w:color w:val="049494"/>
          <w:lang w:val="bg"/>
        </w:rPr>
        <w:t xml:space="preserve"> Регистър на енергийната общност</w:t>
      </w:r>
      <w:bookmarkEnd w:id="190"/>
      <w:bookmarkEnd w:id="191"/>
      <w:bookmarkEnd w:id="192"/>
    </w:p>
    <w:p w:rsidR="007906A8" w:rsidRPr="007906A8" w:rsidRDefault="007906A8" w:rsidP="007906A8">
      <w:pPr>
        <w:rPr>
          <w:lang w:val="bg"/>
        </w:rPr>
      </w:pPr>
    </w:p>
    <w:p w:rsidR="007906A8" w:rsidRPr="009B37DC" w:rsidRDefault="007906A8" w:rsidP="009B37DC">
      <w:p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В качеството си на държава — членка на Европейския съюз, от България се изисква да прилага две европейски директиви:</w:t>
      </w:r>
    </w:p>
    <w:p w:rsidR="009B37DC" w:rsidRDefault="007906A8" w:rsidP="00B01311">
      <w:pPr>
        <w:pStyle w:val="ListParagraph"/>
        <w:numPr>
          <w:ilvl w:val="0"/>
          <w:numId w:val="95"/>
        </w:num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Директива (ЕС) 2019/944 относно общите правила за вътрешния пазар на електроенергия и за изменение на Директива 2012/27/ЕС и</w:t>
      </w:r>
    </w:p>
    <w:p w:rsidR="007906A8" w:rsidRPr="009B37DC" w:rsidRDefault="007906A8" w:rsidP="00B01311">
      <w:pPr>
        <w:pStyle w:val="ListParagraph"/>
        <w:numPr>
          <w:ilvl w:val="0"/>
          <w:numId w:val="95"/>
        </w:num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Директива (ЕС) 2018/2001 за насърчаване използването на енергия от възобновяеми източници (RED II)</w:t>
      </w:r>
    </w:p>
    <w:p w:rsidR="007906A8" w:rsidRDefault="007906A8" w:rsidP="009B37DC">
      <w:pPr>
        <w:spacing w:line="276" w:lineRule="auto"/>
        <w:jc w:val="both"/>
        <w:rPr>
          <w:rFonts w:ascii="Times New Roman" w:hAnsi="Times New Roman" w:cs="Times New Roman"/>
          <w:sz w:val="24"/>
          <w:szCs w:val="24"/>
          <w:lang w:val="bg"/>
        </w:rPr>
      </w:pPr>
      <w:r w:rsidRPr="009B37DC">
        <w:rPr>
          <w:rFonts w:ascii="Times New Roman" w:hAnsi="Times New Roman" w:cs="Times New Roman"/>
          <w:sz w:val="24"/>
          <w:szCs w:val="24"/>
          <w:lang w:val="bg"/>
        </w:rPr>
        <w:t xml:space="preserve">Тези директиви включват редица нови регламенти, за да се осигури по-голяма правна и политическа сигурност за развитието на нови участници на енергийния пазар — например </w:t>
      </w:r>
      <w:r w:rsidRPr="009B37DC">
        <w:rPr>
          <w:rFonts w:ascii="Times New Roman" w:hAnsi="Times New Roman" w:cs="Times New Roman"/>
          <w:sz w:val="24"/>
          <w:szCs w:val="24"/>
        </w:rPr>
        <w:t>CECs</w:t>
      </w:r>
      <w:r w:rsidRPr="009B37DC">
        <w:rPr>
          <w:rFonts w:ascii="Times New Roman" w:hAnsi="Times New Roman" w:cs="Times New Roman"/>
          <w:sz w:val="24"/>
          <w:szCs w:val="24"/>
          <w:lang w:val="bg"/>
        </w:rPr>
        <w:t xml:space="preserve"> и </w:t>
      </w:r>
      <w:r w:rsidRPr="009B37DC">
        <w:rPr>
          <w:rFonts w:ascii="Times New Roman" w:hAnsi="Times New Roman" w:cs="Times New Roman"/>
          <w:sz w:val="24"/>
          <w:szCs w:val="24"/>
        </w:rPr>
        <w:t>RECs</w:t>
      </w:r>
      <w:r w:rsidRPr="009B37DC">
        <w:rPr>
          <w:rFonts w:ascii="Times New Roman" w:hAnsi="Times New Roman" w:cs="Times New Roman"/>
          <w:sz w:val="24"/>
          <w:szCs w:val="24"/>
          <w:lang w:val="bg"/>
        </w:rPr>
        <w:t xml:space="preserve">, с възможност да бъдат производители, потребители, търговци, които споделят енергия (главно електроенергия от възобновяеми енергийни източници). </w:t>
      </w:r>
      <w:hyperlink w:anchor="bookmark337" w:tooltip="Current Document">
        <w:r w:rsidRPr="009B37DC">
          <w:rPr>
            <w:rStyle w:val="Hyperlink"/>
            <w:rFonts w:ascii="Times New Roman" w:hAnsi="Times New Roman" w:cs="Times New Roman"/>
            <w:sz w:val="24"/>
            <w:szCs w:val="24"/>
            <w:lang w:val="bg"/>
          </w:rPr>
          <w:t xml:space="preserve">В таблица 1 </w:t>
        </w:r>
      </w:hyperlink>
      <w:r w:rsidRPr="009B37DC">
        <w:rPr>
          <w:rFonts w:ascii="Times New Roman" w:hAnsi="Times New Roman" w:cs="Times New Roman"/>
          <w:sz w:val="24"/>
          <w:szCs w:val="24"/>
          <w:lang w:val="bg"/>
        </w:rPr>
        <w:t>са показани текстовете на Директиви (ЕС) 2019/944 и (ЕС) 2018/2001 и Закона за енергетиката и Закона за ВЕИ, свързани с двата вида енергийни общности, което ни позволява да сравним степента на транспониране на двете директиви в българското законодателство, както и да сравним разпоредбите на Закона за енергетиката и Закона за ЕРС по отношение на ЦИК и РЕК.</w:t>
      </w:r>
    </w:p>
    <w:p w:rsidR="009B37DC" w:rsidRPr="009B37DC" w:rsidRDefault="009B37DC" w:rsidP="009B37DC">
      <w:pPr>
        <w:spacing w:line="276" w:lineRule="auto"/>
        <w:jc w:val="both"/>
        <w:rPr>
          <w:rFonts w:ascii="Times New Roman" w:hAnsi="Times New Roman" w:cs="Times New Roman"/>
          <w:sz w:val="24"/>
          <w:szCs w:val="24"/>
          <w:lang w:val="bg"/>
        </w:rPr>
      </w:pPr>
    </w:p>
    <w:p w:rsidR="00D76E9D" w:rsidRDefault="00D76E9D" w:rsidP="009B37DC">
      <w:pPr>
        <w:spacing w:line="276" w:lineRule="auto"/>
        <w:jc w:val="both"/>
        <w:rPr>
          <w:rFonts w:ascii="Times New Roman" w:hAnsi="Times New Roman" w:cs="Times New Roman"/>
          <w:sz w:val="24"/>
          <w:szCs w:val="24"/>
          <w:lang w:val="bg"/>
        </w:rPr>
      </w:pPr>
      <w:bookmarkStart w:id="193" w:name="bookmark337"/>
    </w:p>
    <w:p w:rsidR="007906A8" w:rsidRDefault="007906A8" w:rsidP="009B37DC">
      <w:pPr>
        <w:spacing w:line="276" w:lineRule="auto"/>
        <w:jc w:val="both"/>
        <w:rPr>
          <w:rFonts w:ascii="Times New Roman" w:hAnsi="Times New Roman" w:cs="Times New Roman"/>
          <w:sz w:val="24"/>
          <w:szCs w:val="24"/>
        </w:rPr>
      </w:pPr>
      <w:r w:rsidRPr="009B37DC">
        <w:rPr>
          <w:rFonts w:ascii="Times New Roman" w:hAnsi="Times New Roman" w:cs="Times New Roman"/>
          <w:sz w:val="24"/>
          <w:szCs w:val="24"/>
          <w:lang w:val="bg"/>
        </w:rPr>
        <w:t xml:space="preserve">Таблица 1 - Сравнение между разпоредбите на Закона за енергетиката и </w:t>
      </w:r>
      <w:r w:rsidRPr="009B37DC">
        <w:rPr>
          <w:rFonts w:ascii="Times New Roman" w:hAnsi="Times New Roman" w:cs="Times New Roman"/>
          <w:sz w:val="24"/>
          <w:szCs w:val="24"/>
          <w:lang w:val="bg-BG"/>
        </w:rPr>
        <w:t>ЗЕВИ</w:t>
      </w:r>
      <w:r w:rsidRPr="009B37DC">
        <w:rPr>
          <w:rFonts w:ascii="Times New Roman" w:hAnsi="Times New Roman" w:cs="Times New Roman"/>
          <w:sz w:val="24"/>
          <w:szCs w:val="24"/>
          <w:lang w:val="bg"/>
        </w:rPr>
        <w:t xml:space="preserve"> по отношение на </w:t>
      </w:r>
      <w:r w:rsidRPr="009B37DC">
        <w:rPr>
          <w:rFonts w:ascii="Times New Roman" w:hAnsi="Times New Roman" w:cs="Times New Roman"/>
          <w:sz w:val="24"/>
          <w:szCs w:val="24"/>
        </w:rPr>
        <w:t>CECs</w:t>
      </w:r>
      <w:r w:rsidRPr="009B37DC">
        <w:rPr>
          <w:rFonts w:ascii="Times New Roman" w:hAnsi="Times New Roman" w:cs="Times New Roman"/>
          <w:sz w:val="24"/>
          <w:szCs w:val="24"/>
          <w:lang w:val="bg"/>
        </w:rPr>
        <w:t xml:space="preserve"> и </w:t>
      </w:r>
      <w:bookmarkEnd w:id="193"/>
      <w:r w:rsidRPr="009B37DC">
        <w:rPr>
          <w:rFonts w:ascii="Times New Roman" w:hAnsi="Times New Roman" w:cs="Times New Roman"/>
          <w:sz w:val="24"/>
          <w:szCs w:val="24"/>
        </w:rPr>
        <w:t>RECs</w:t>
      </w: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p w:rsidR="001A38FE" w:rsidRDefault="001A38FE" w:rsidP="009B37DC">
      <w:pPr>
        <w:spacing w:line="276" w:lineRule="auto"/>
        <w:jc w:val="both"/>
        <w:rPr>
          <w:rFonts w:ascii="Times New Roman" w:hAnsi="Times New Roman" w:cs="Times New Roman"/>
          <w:sz w:val="24"/>
          <w:szCs w:val="24"/>
        </w:rPr>
      </w:pPr>
    </w:p>
    <w:tbl>
      <w:tblPr>
        <w:tblOverlap w:val="never"/>
        <w:tblW w:w="928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40"/>
        <w:gridCol w:w="4544"/>
      </w:tblGrid>
      <w:tr w:rsidR="00D76E9D" w:rsidRPr="001A38FE" w:rsidTr="001A38FE">
        <w:trPr>
          <w:trHeight w:hRule="exact" w:val="371"/>
        </w:trPr>
        <w:tc>
          <w:tcPr>
            <w:tcW w:w="4740" w:type="dxa"/>
            <w:shd w:val="clear" w:color="auto" w:fill="auto"/>
            <w:vAlign w:val="bottom"/>
          </w:tcPr>
          <w:p w:rsidR="00D76E9D" w:rsidRPr="001A38FE" w:rsidRDefault="00D76E9D" w:rsidP="00D76E9D">
            <w:pPr>
              <w:rPr>
                <w:rFonts w:ascii="Times New Roman" w:hAnsi="Times New Roman" w:cs="Times New Roman"/>
                <w:sz w:val="18"/>
                <w:szCs w:val="18"/>
              </w:rPr>
            </w:pPr>
            <w:r w:rsidRPr="001A38FE">
              <w:rPr>
                <w:rFonts w:ascii="Times New Roman" w:hAnsi="Times New Roman" w:cs="Times New Roman"/>
                <w:b/>
                <w:bCs/>
                <w:sz w:val="18"/>
                <w:szCs w:val="18"/>
              </w:rPr>
              <w:lastRenderedPageBreak/>
              <w:t>CEC</w:t>
            </w:r>
          </w:p>
        </w:tc>
        <w:tc>
          <w:tcPr>
            <w:tcW w:w="4544" w:type="dxa"/>
            <w:shd w:val="clear" w:color="auto" w:fill="auto"/>
            <w:vAlign w:val="bottom"/>
          </w:tcPr>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b/>
                <w:bCs/>
                <w:sz w:val="18"/>
                <w:szCs w:val="18"/>
                <w:lang w:val="bg"/>
              </w:rPr>
              <w:t>REC</w:t>
            </w:r>
          </w:p>
        </w:tc>
      </w:tr>
      <w:tr w:rsidR="00D76E9D" w:rsidRPr="001A38FE" w:rsidTr="001A38FE">
        <w:trPr>
          <w:trHeight w:hRule="exact" w:val="9924"/>
        </w:trPr>
        <w:tc>
          <w:tcPr>
            <w:tcW w:w="4740" w:type="dxa"/>
            <w:shd w:val="clear" w:color="auto" w:fill="auto"/>
            <w:vAlign w:val="bottom"/>
          </w:tcPr>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Европейска регулаторна рамка:</w:t>
            </w:r>
            <w:r w:rsidRPr="001A38FE">
              <w:rPr>
                <w:rFonts w:ascii="Times New Roman" w:hAnsi="Times New Roman" w:cs="Times New Roman"/>
                <w:sz w:val="18"/>
                <w:szCs w:val="18"/>
                <w:lang w:val="bg"/>
              </w:rPr>
              <w:t xml:space="preserve"> </w:t>
            </w:r>
            <w:r w:rsidRPr="001A38FE">
              <w:rPr>
                <w:rFonts w:ascii="Times New Roman" w:hAnsi="Times New Roman" w:cs="Times New Roman"/>
                <w:b/>
                <w:bCs/>
                <w:sz w:val="18"/>
                <w:szCs w:val="18"/>
                <w:lang w:val="bg"/>
              </w:rPr>
              <w:t>Директива (ЕС) 2019/944 относно общите правила за вътрешния пазар на електроенергия и за изменение на Директива 2012/27/ЕС</w:t>
            </w:r>
          </w:p>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Разглеждане (46) в директивата:</w:t>
            </w:r>
            <w:r w:rsidRPr="001A38FE">
              <w:rPr>
                <w:rFonts w:ascii="Times New Roman" w:hAnsi="Times New Roman" w:cs="Times New Roman"/>
                <w:sz w:val="18"/>
                <w:szCs w:val="18"/>
                <w:lang w:val="bg"/>
              </w:rPr>
              <w:t xml:space="preserve"> Гражданските енергийни общности представляват нов вид субект поради своята структура на членство, изисквания за управление и цел. На тях следва да им бъде разрешено да извършват дейност на пазара при еднакви условия на конкуренция, без да се нарушава конкуренцията, а правата и задълженията, приложими за другите електроенергийни предприятия на пазара, следва да се прилагат за гражданските енергийни общности по недискриминационен и пропорционален начин. Тези права и задължения следва да се прилагат в съответствие с ролите, които поемат, като например ролите на крайните клиенти, производителите, доставчиците или операторите на разпределителни системи. Гражданските енергийни общности не следва да се сблъскват с регулаторни ограничения, когато прилагат съществуващи или бъдещи информационни и комуникационни технологии за споделяне на електроенергия, произведена чрез използване на производствени активи в рамките на гражданската енергийна общност, между своите членове или акционери въз основа на пазарни принципи, например чрез компенсиране на енергийния компонент на членовете или акционерите, използващи наличното в общността производство, дори по обществената мрежа, при условие че и двете измервателни точки принадлежат на общността. Споделянето на електроенергия дава възможност на членовете или акционерите да бъдат снабдявани с електроенергия от производствени инсталации в рамките на общността, без да са в пряка физическа близост до производствената инсталация и без да се намират зад една-единствена измервателна точка. Когато електроенергията се споделя, споделянето не следва да засяга събирането на такси за мрежата, тарифи и налози, свързани с потоците електроенергия. Споделянето следва да бъде улеснено в съответствие със задълженията и правилните срокове за балансиране, измерване и сетълмент. Разпоредбите на настоящата директива относно гражданските енергийни общности не засягат компетентността на държавите членки да:</w:t>
            </w:r>
          </w:p>
        </w:tc>
        <w:tc>
          <w:tcPr>
            <w:tcW w:w="4544" w:type="dxa"/>
            <w:shd w:val="clear" w:color="auto" w:fill="auto"/>
            <w:vAlign w:val="bottom"/>
          </w:tcPr>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Европейска регулаторна рамка:</w:t>
            </w:r>
            <w:r w:rsidRPr="001A38FE">
              <w:rPr>
                <w:rFonts w:ascii="Times New Roman" w:hAnsi="Times New Roman" w:cs="Times New Roman"/>
                <w:sz w:val="18"/>
                <w:szCs w:val="18"/>
                <w:lang w:val="bg"/>
              </w:rPr>
              <w:t xml:space="preserve"> </w:t>
            </w:r>
            <w:r w:rsidRPr="001A38FE">
              <w:rPr>
                <w:rFonts w:ascii="Times New Roman" w:hAnsi="Times New Roman" w:cs="Times New Roman"/>
                <w:b/>
                <w:bCs/>
                <w:sz w:val="18"/>
                <w:szCs w:val="18"/>
                <w:lang w:val="bg"/>
              </w:rPr>
              <w:t>Директива (ЕС) 2018/2001 за насърчаване използването на енергия от възобновяеми източници (RED II)</w:t>
            </w:r>
          </w:p>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Разглеждане (26) в директивата:</w:t>
            </w:r>
            <w:r w:rsidRPr="001A38FE">
              <w:rPr>
                <w:rFonts w:ascii="Times New Roman" w:hAnsi="Times New Roman" w:cs="Times New Roman"/>
                <w:sz w:val="18"/>
                <w:szCs w:val="18"/>
                <w:lang w:val="bg"/>
              </w:rPr>
              <w:t xml:space="preserve"> Държавите членки следва да гарантират, че общностите за енергия от възобновяеми източници могат да участват в наличните схеми за подпомагане на равни начала с големите участници. За тази цел държавите членки следва да могат да предприемат мерки, като например предоставяне на информация, предоставяне на техническа и финансова подкрепа, намаляване на административните изисквания, включително насочени към общността критерии за офериране, създаване на съобразени с конкретните нужди периоди за офериране за общностите за енергия от възобновяеми източници или разрешаване на общностите за енергия от възобновяеми източници да получават възнаграждение чрез пряко подпомагане, когато те отговарят на изискванията за малки инсталации.</w:t>
            </w:r>
          </w:p>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Разглеждане (71) в директивата:</w:t>
            </w:r>
          </w:p>
          <w:p w:rsidR="00D76E9D" w:rsidRPr="001A38FE" w:rsidRDefault="00D76E9D" w:rsidP="00D76E9D">
            <w:pPr>
              <w:rPr>
                <w:rFonts w:ascii="Times New Roman" w:hAnsi="Times New Roman" w:cs="Times New Roman"/>
                <w:sz w:val="18"/>
                <w:szCs w:val="18"/>
                <w:lang w:val="bg"/>
              </w:rPr>
            </w:pPr>
            <w:r w:rsidRPr="001A38FE">
              <w:rPr>
                <w:rFonts w:ascii="Times New Roman" w:hAnsi="Times New Roman" w:cs="Times New Roman"/>
                <w:sz w:val="18"/>
                <w:szCs w:val="18"/>
                <w:lang w:val="bg"/>
              </w:rPr>
              <w:t>Специфичните характеристики на местните общности за енергия от възобновяеми източници по отношение на размера, структурата на собствеността и броя на проектите могат да възпрепятстват тяхната конкуренция на равни начала с големите участници, а именно конкурентите с по-големи проекти или портфейли. Поради това следва да бъде възможно държавите членки да избират каквато и да е форма на субект за общностите за енергия от възобновяеми източници, при условие че този субект може, действайки от свое име, да упражнява права и да подлежи на задължения. За да се избегнат злоупотреби и да се гарантира широко участие, общностите за енергия от възобновяеми източници следва да могат да останат независими от отделните членове и други традиционни участници на пазара, които участват в общността като членове или акционери или които си сътрудничат чрез други средства, като например инвестиции. Участието в проекти за енергия от възобновяеми източници следва да бъде отворено за всички потенциални местни членове въз основа на обективни, прозрачни и недискриминационни критерии.</w:t>
            </w:r>
          </w:p>
        </w:tc>
      </w:tr>
    </w:tbl>
    <w:p w:rsidR="00D76E9D" w:rsidRDefault="00D76E9D">
      <w:pPr>
        <w:rPr>
          <w:rFonts w:ascii="Times New Roman" w:hAnsi="Times New Roman" w:cs="Times New Roman"/>
          <w:sz w:val="24"/>
          <w:szCs w:val="24"/>
        </w:rPr>
      </w:pPr>
    </w:p>
    <w:p w:rsidR="007906A8" w:rsidRDefault="007906A8" w:rsidP="007906A8">
      <w:pPr>
        <w:rPr>
          <w:lang w:val="bg"/>
        </w:rPr>
      </w:pPr>
    </w:p>
    <w:p w:rsidR="00FA57D1" w:rsidRDefault="00FA57D1" w:rsidP="007906A8">
      <w:pPr>
        <w:rPr>
          <w:lang w:val="bg"/>
        </w:rPr>
      </w:pPr>
    </w:p>
    <w:p w:rsidR="00FA57D1" w:rsidRDefault="00FA57D1" w:rsidP="007906A8">
      <w:pPr>
        <w:rPr>
          <w:lang w:val="bg"/>
        </w:rPr>
      </w:pPr>
    </w:p>
    <w:p w:rsidR="00FA57D1" w:rsidRDefault="00FA57D1" w:rsidP="007906A8">
      <w:pPr>
        <w:rPr>
          <w:lang w:val="bg"/>
        </w:rPr>
      </w:pPr>
    </w:p>
    <w:p w:rsidR="00FA57D1" w:rsidRDefault="00FA57D1" w:rsidP="007906A8">
      <w:pPr>
        <w:rPr>
          <w:lang w:val="bg"/>
        </w:rPr>
      </w:pPr>
    </w:p>
    <w:p w:rsidR="00FA57D1" w:rsidRDefault="00FA57D1" w:rsidP="007906A8">
      <w:pPr>
        <w:rPr>
          <w:lang w:val="bg"/>
        </w:rPr>
      </w:pPr>
    </w:p>
    <w:p w:rsidR="00D76E9D" w:rsidRPr="007906A8" w:rsidRDefault="00D76E9D" w:rsidP="007906A8">
      <w:pPr>
        <w:rPr>
          <w:lang w:val="bg"/>
        </w:rPr>
        <w:sectPr w:rsidR="00D76E9D" w:rsidRPr="007906A8" w:rsidSect="006971CE">
          <w:footerReference w:type="even" r:id="rId30"/>
          <w:footerReference w:type="default" r:id="rId31"/>
          <w:type w:val="continuous"/>
          <w:pgSz w:w="12211" w:h="17419"/>
          <w:pgMar w:top="1417" w:right="1417" w:bottom="1417" w:left="1417" w:header="1276" w:footer="6" w:gutter="0"/>
          <w:pgNumType w:start="1"/>
          <w:cols w:space="720"/>
          <w:noEndnote/>
          <w:docGrid w:linePitch="360"/>
        </w:sectPr>
      </w:pP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lastRenderedPageBreak/>
        <w:t>разработва и прилага политики, свързани с енергийния сектор по отношение на таксите и тарифите за мрежата, или разработва и прилага системи за финансиране на енергийната политика и поделяне на разходите, при условие че тези политики са недискриминационни и законосъобразни.</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u w:val="single"/>
          <w:lang w:val="bg"/>
        </w:rPr>
        <w:t xml:space="preserve">Разглеждане (47) в директивата: </w:t>
      </w:r>
      <w:r w:rsidRPr="001A38FE">
        <w:rPr>
          <w:rFonts w:ascii="Times New Roman" w:hAnsi="Times New Roman" w:cs="Times New Roman"/>
          <w:sz w:val="18"/>
          <w:szCs w:val="18"/>
          <w:lang w:val="bg"/>
        </w:rPr>
        <w:t>Настоящата директива оправомощава държавите членки да позволят на гражданските енергийни общности да станат оператори на разпределителни системи или съгласно общия режим, или като „оператори на затворени разпределителни системи“. След като на дадена гражданска енергийна общност бъде предоставен статут на оператор на разпределителна система, тя следва да бъде третирана като оператор на разпределителна система и да подлежи на същите задължения като него. Разпоредбите на настоящата директива относно гражданските енергийни общности изясняват само аспекти на експлоатацията на разпределителната система, които е вероятно да са от значение за гражданските енергийни общности, докато други аспекти на експлоатацията на разпределителната система се прилагат в съответствие с правилата, отнасящи се до операторите на разпределителни системи.</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b/>
          <w:bCs/>
          <w:sz w:val="18"/>
          <w:szCs w:val="18"/>
          <w:lang w:val="bg"/>
        </w:rPr>
        <w:t>Член 2, параграф 11 от директивата (определения):</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„гражданска енергийна общност“ означава юридическо лице, което:</w:t>
      </w:r>
    </w:p>
    <w:p w:rsidR="007906A8" w:rsidRPr="001A38FE" w:rsidRDefault="007906A8" w:rsidP="00DF14F0">
      <w:pPr>
        <w:numPr>
          <w:ilvl w:val="0"/>
          <w:numId w:val="2"/>
        </w:numPr>
        <w:rPr>
          <w:rFonts w:ascii="Times New Roman" w:hAnsi="Times New Roman" w:cs="Times New Roman"/>
          <w:sz w:val="18"/>
          <w:szCs w:val="18"/>
          <w:lang w:val="bg"/>
        </w:rPr>
      </w:pPr>
      <w:r w:rsidRPr="001A38FE">
        <w:rPr>
          <w:rFonts w:ascii="Times New Roman" w:hAnsi="Times New Roman" w:cs="Times New Roman"/>
          <w:sz w:val="18"/>
          <w:szCs w:val="18"/>
          <w:lang w:val="bg"/>
        </w:rPr>
        <w:t>се основава на доброволно и открито участие и се контролира ефективно от членове или акционери, които са физически лица, местни органи, включително общини, или малки предприятия.</w:t>
      </w:r>
    </w:p>
    <w:p w:rsidR="007906A8" w:rsidRPr="001A38FE" w:rsidRDefault="007906A8" w:rsidP="00DF14F0">
      <w:pPr>
        <w:numPr>
          <w:ilvl w:val="0"/>
          <w:numId w:val="2"/>
        </w:numPr>
        <w:rPr>
          <w:rFonts w:ascii="Times New Roman" w:hAnsi="Times New Roman" w:cs="Times New Roman"/>
          <w:sz w:val="18"/>
          <w:szCs w:val="18"/>
          <w:lang w:val="bg"/>
        </w:rPr>
      </w:pPr>
      <w:r w:rsidRPr="001A38FE">
        <w:rPr>
          <w:rFonts w:ascii="Times New Roman" w:hAnsi="Times New Roman" w:cs="Times New Roman"/>
          <w:sz w:val="18"/>
          <w:szCs w:val="18"/>
          <w:lang w:val="bg"/>
        </w:rPr>
        <w:t>има за основна цел да осигурява екологични, икономически или социални ползи за своите членове или акционери или за местните райони, в които извършва дейност, а не да генерира финансови печалби; и</w:t>
      </w:r>
    </w:p>
    <w:p w:rsidR="007906A8" w:rsidRPr="001A38FE" w:rsidRDefault="007906A8" w:rsidP="00DF14F0">
      <w:pPr>
        <w:numPr>
          <w:ilvl w:val="0"/>
          <w:numId w:val="2"/>
        </w:numPr>
        <w:rPr>
          <w:rFonts w:ascii="Times New Roman" w:hAnsi="Times New Roman" w:cs="Times New Roman"/>
          <w:sz w:val="18"/>
          <w:szCs w:val="18"/>
          <w:lang w:val="bg"/>
        </w:rPr>
      </w:pPr>
      <w:r w:rsidRPr="001A38FE">
        <w:rPr>
          <w:rFonts w:ascii="Times New Roman" w:hAnsi="Times New Roman" w:cs="Times New Roman"/>
          <w:sz w:val="18"/>
          <w:szCs w:val="18"/>
          <w:lang w:val="bg"/>
        </w:rPr>
        <w:t>могат да участват в производство, включително от възобновяеми източници, разпределение, доставка, потребление, агрегиране, акумулиране на енергия, услуги за енергийна ефективност или услуги за зареждане на електрически превозни средства или да предоставят други енергийни услуги на своите членове или акционери.</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b/>
          <w:bCs/>
          <w:sz w:val="18"/>
          <w:szCs w:val="18"/>
          <w:lang w:val="bg"/>
        </w:rPr>
        <w:t>Член 16 от директивата:</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Граждански енергийни общности</w:t>
      </w:r>
    </w:p>
    <w:p w:rsidR="007906A8" w:rsidRPr="001A38FE" w:rsidRDefault="007906A8" w:rsidP="00DF14F0">
      <w:pPr>
        <w:numPr>
          <w:ilvl w:val="0"/>
          <w:numId w:val="3"/>
        </w:numPr>
        <w:rPr>
          <w:rFonts w:ascii="Times New Roman" w:hAnsi="Times New Roman" w:cs="Times New Roman"/>
          <w:sz w:val="18"/>
          <w:szCs w:val="18"/>
          <w:lang w:val="bg"/>
        </w:rPr>
      </w:pPr>
      <w:r w:rsidRPr="001A38FE">
        <w:rPr>
          <w:rFonts w:ascii="Times New Roman" w:hAnsi="Times New Roman" w:cs="Times New Roman"/>
          <w:sz w:val="18"/>
          <w:szCs w:val="18"/>
          <w:lang w:val="bg"/>
        </w:rPr>
        <w:t>Държавите членки осигуряват благоприятна регулаторна рамка за гражданските енергийни общности, като гарантират, че:</w:t>
      </w:r>
    </w:p>
    <w:p w:rsidR="007906A8" w:rsidRPr="001A38FE" w:rsidRDefault="007906A8" w:rsidP="00DF14F0">
      <w:pPr>
        <w:numPr>
          <w:ilvl w:val="0"/>
          <w:numId w:val="4"/>
        </w:numPr>
        <w:rPr>
          <w:rFonts w:ascii="Times New Roman" w:hAnsi="Times New Roman" w:cs="Times New Roman"/>
          <w:sz w:val="18"/>
          <w:szCs w:val="18"/>
          <w:lang w:val="bg"/>
        </w:rPr>
      </w:pPr>
      <w:r w:rsidRPr="001A38FE">
        <w:rPr>
          <w:rFonts w:ascii="Times New Roman" w:hAnsi="Times New Roman" w:cs="Times New Roman"/>
          <w:sz w:val="18"/>
          <w:szCs w:val="18"/>
          <w:lang w:val="bg"/>
        </w:rPr>
        <w:t>участието в гражданска енергийна общност е открито и доброволно;</w:t>
      </w:r>
    </w:p>
    <w:p w:rsidR="007906A8" w:rsidRPr="001A38FE" w:rsidRDefault="007906A8" w:rsidP="00DF14F0">
      <w:pPr>
        <w:numPr>
          <w:ilvl w:val="0"/>
          <w:numId w:val="4"/>
        </w:numPr>
        <w:rPr>
          <w:rFonts w:ascii="Times New Roman" w:hAnsi="Times New Roman" w:cs="Times New Roman"/>
          <w:sz w:val="18"/>
          <w:szCs w:val="18"/>
          <w:lang w:val="bg"/>
        </w:rPr>
      </w:pPr>
      <w:r w:rsidRPr="001A38FE">
        <w:rPr>
          <w:rFonts w:ascii="Times New Roman" w:hAnsi="Times New Roman" w:cs="Times New Roman"/>
          <w:sz w:val="18"/>
          <w:szCs w:val="18"/>
          <w:lang w:val="bg"/>
        </w:rPr>
        <w:t>членовете или акционерите на гражданска енергийна общност имат право да напуснат общността, като в този случай се прилага член 12;</w:t>
      </w:r>
    </w:p>
    <w:p w:rsidR="007906A8" w:rsidRPr="001A38FE" w:rsidRDefault="007906A8" w:rsidP="00DF14F0">
      <w:pPr>
        <w:numPr>
          <w:ilvl w:val="0"/>
          <w:numId w:val="4"/>
        </w:numPr>
        <w:rPr>
          <w:rFonts w:ascii="Times New Roman" w:hAnsi="Times New Roman" w:cs="Times New Roman"/>
          <w:sz w:val="18"/>
          <w:szCs w:val="18"/>
          <w:lang w:val="bg"/>
        </w:rPr>
      </w:pPr>
      <w:r w:rsidRPr="001A38FE">
        <w:rPr>
          <w:rFonts w:ascii="Times New Roman" w:hAnsi="Times New Roman" w:cs="Times New Roman"/>
          <w:sz w:val="18"/>
          <w:szCs w:val="18"/>
          <w:lang w:val="bg"/>
        </w:rPr>
        <w:t>членовете или акционерите на гражданска енергийна общност не губят правата и задълженията си като битови клиенти или активни клиенти;</w:t>
      </w:r>
    </w:p>
    <w:p w:rsidR="007906A8" w:rsidRPr="001A38FE" w:rsidRDefault="007906A8" w:rsidP="00DF14F0">
      <w:pPr>
        <w:numPr>
          <w:ilvl w:val="0"/>
          <w:numId w:val="4"/>
        </w:numPr>
        <w:rPr>
          <w:rFonts w:ascii="Times New Roman" w:hAnsi="Times New Roman" w:cs="Times New Roman"/>
          <w:sz w:val="18"/>
          <w:szCs w:val="18"/>
          <w:lang w:val="bg"/>
        </w:rPr>
      </w:pPr>
      <w:r w:rsidRPr="001A38FE">
        <w:rPr>
          <w:rFonts w:ascii="Times New Roman" w:hAnsi="Times New Roman" w:cs="Times New Roman"/>
          <w:sz w:val="18"/>
          <w:szCs w:val="18"/>
          <w:lang w:val="bg"/>
        </w:rPr>
        <w:t>подлежащи на справедливо обезщетение, както е оценено от регулаторния орган, съответните оператори на разпределителни системи</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Мерките за компенсиране на недостатъците, свързани със специфичните характеристики на местните общности за енергия от възобновяеми източници по отношение на размера, структурата на собствеността и броя на проектите, включват предоставяне на възможност на общностите за енергия от възобновяеми източници да работят в енергийната система и улесняване на тяхната пазарна интеграция. Общностите за възобновяема енергия следва да могат да споделят помежду си енергията, произведена от тяхната общност.</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Членовете на общността обаче не следва да бъдат освободени от съответните разходи, такси, налози и данъци, които биха били поети от крайните потребители, които не са членове на общността, производители в подобно положение или когато за тези прехвърляния се използва публична мрежова инфраструктура.</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b/>
          <w:bCs/>
          <w:sz w:val="18"/>
          <w:szCs w:val="18"/>
          <w:lang w:val="bg"/>
        </w:rPr>
        <w:t>Член 2, параграф 16 от директивата (определения):</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„общност за енергия от възобновяеми източници“ означава юридическо лице:</w:t>
      </w:r>
    </w:p>
    <w:p w:rsidR="007906A8" w:rsidRPr="001A38FE" w:rsidRDefault="007906A8" w:rsidP="00DF14F0">
      <w:pPr>
        <w:numPr>
          <w:ilvl w:val="0"/>
          <w:numId w:val="5"/>
        </w:numPr>
        <w:rPr>
          <w:rFonts w:ascii="Times New Roman" w:hAnsi="Times New Roman" w:cs="Times New Roman"/>
          <w:sz w:val="18"/>
          <w:szCs w:val="18"/>
          <w:lang w:val="bg"/>
        </w:rPr>
      </w:pPr>
      <w:r w:rsidRPr="001A38FE">
        <w:rPr>
          <w:rFonts w:ascii="Times New Roman" w:hAnsi="Times New Roman" w:cs="Times New Roman"/>
          <w:sz w:val="18"/>
          <w:szCs w:val="18"/>
          <w:lang w:val="bg"/>
        </w:rPr>
        <w:t>който, в съответствие с приложимото национално право, се основава на открито и доброволно участие, е автономен и се контролира ефективно от акционери или членове, които се намират в близост до проекти за енергия от възобновяеми източници, притежавани и разработени от този правен субект.</w:t>
      </w:r>
    </w:p>
    <w:p w:rsidR="007906A8" w:rsidRPr="001A38FE" w:rsidRDefault="007906A8" w:rsidP="00DF14F0">
      <w:pPr>
        <w:numPr>
          <w:ilvl w:val="0"/>
          <w:numId w:val="5"/>
        </w:numPr>
        <w:rPr>
          <w:rFonts w:ascii="Times New Roman" w:hAnsi="Times New Roman" w:cs="Times New Roman"/>
          <w:sz w:val="18"/>
          <w:szCs w:val="18"/>
          <w:lang w:val="bg"/>
        </w:rPr>
      </w:pPr>
      <w:r w:rsidRPr="001A38FE">
        <w:rPr>
          <w:rFonts w:ascii="Times New Roman" w:hAnsi="Times New Roman" w:cs="Times New Roman"/>
          <w:sz w:val="18"/>
          <w:szCs w:val="18"/>
          <w:lang w:val="bg"/>
        </w:rPr>
        <w:t>чиито акционери или членове са физически лица, МСП или местни органи, включително общини.</w:t>
      </w:r>
    </w:p>
    <w:p w:rsidR="007906A8" w:rsidRPr="001A38FE" w:rsidRDefault="007906A8" w:rsidP="00DF14F0">
      <w:pPr>
        <w:numPr>
          <w:ilvl w:val="0"/>
          <w:numId w:val="5"/>
        </w:numPr>
        <w:rPr>
          <w:rFonts w:ascii="Times New Roman" w:hAnsi="Times New Roman" w:cs="Times New Roman"/>
          <w:sz w:val="18"/>
          <w:szCs w:val="18"/>
          <w:lang w:val="bg"/>
        </w:rPr>
      </w:pPr>
      <w:r w:rsidRPr="001A38FE">
        <w:rPr>
          <w:rFonts w:ascii="Times New Roman" w:hAnsi="Times New Roman" w:cs="Times New Roman"/>
          <w:sz w:val="18"/>
          <w:szCs w:val="18"/>
          <w:lang w:val="bg"/>
        </w:rPr>
        <w:t>чиято основна цел е да осигури екологични, икономически или социални ползи за своите акционери или членове или за местните райони, в които извършва дейност, а не финансови печалби.</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b/>
          <w:bCs/>
          <w:sz w:val="18"/>
          <w:szCs w:val="18"/>
          <w:lang w:val="bg"/>
        </w:rPr>
        <w:t>Член 22 от директивата:</w:t>
      </w:r>
    </w:p>
    <w:p w:rsidR="007906A8" w:rsidRPr="001A38FE" w:rsidRDefault="007906A8" w:rsidP="00B058AD">
      <w:pPr>
        <w:rPr>
          <w:rFonts w:ascii="Times New Roman" w:hAnsi="Times New Roman" w:cs="Times New Roman"/>
          <w:sz w:val="18"/>
          <w:szCs w:val="18"/>
          <w:lang w:val="bg"/>
        </w:rPr>
      </w:pPr>
      <w:r w:rsidRPr="001A38FE">
        <w:rPr>
          <w:rFonts w:ascii="Times New Roman" w:hAnsi="Times New Roman" w:cs="Times New Roman"/>
          <w:sz w:val="18"/>
          <w:szCs w:val="18"/>
          <w:lang w:val="bg"/>
        </w:rPr>
        <w:t>Общности за възобновяема енергия</w:t>
      </w:r>
    </w:p>
    <w:p w:rsidR="007906A8" w:rsidRPr="001A38FE" w:rsidRDefault="007906A8" w:rsidP="00DF14F0">
      <w:pPr>
        <w:numPr>
          <w:ilvl w:val="0"/>
          <w:numId w:val="6"/>
        </w:numPr>
        <w:rPr>
          <w:rFonts w:ascii="Times New Roman" w:hAnsi="Times New Roman" w:cs="Times New Roman"/>
          <w:sz w:val="18"/>
          <w:szCs w:val="18"/>
          <w:lang w:val="bg"/>
        </w:rPr>
      </w:pPr>
      <w:r w:rsidRPr="001A38FE">
        <w:rPr>
          <w:rFonts w:ascii="Times New Roman" w:hAnsi="Times New Roman" w:cs="Times New Roman"/>
          <w:sz w:val="18"/>
          <w:szCs w:val="18"/>
          <w:lang w:val="bg"/>
        </w:rPr>
        <w:t>Държавите членки гарантират, че крайните клиенти, по-специално битовите клиенти, имат право да участват в общност за енергия от възобновяеми източници, като същевременно запазват своите права или задължения като крайни клиенти и не</w:t>
      </w:r>
      <w:r w:rsidRPr="00B058AD">
        <w:rPr>
          <w:rFonts w:ascii="Times New Roman" w:hAnsi="Times New Roman" w:cs="Times New Roman"/>
          <w:sz w:val="24"/>
          <w:szCs w:val="24"/>
          <w:lang w:val="bg"/>
        </w:rPr>
        <w:t xml:space="preserve"> подлежат на </w:t>
      </w:r>
      <w:r w:rsidRPr="001A38FE">
        <w:rPr>
          <w:rFonts w:ascii="Times New Roman" w:hAnsi="Times New Roman" w:cs="Times New Roman"/>
          <w:sz w:val="18"/>
          <w:szCs w:val="18"/>
          <w:lang w:val="bg"/>
        </w:rPr>
        <w:t>необосновани или дискриминационни условия или процедури, които биха възпрепятствали участието им в общност за енергия от възобновяеми източници, при условие че за частните предприятия тяхното участие не представлява основната им търговска или професионална дейност.</w:t>
      </w:r>
    </w:p>
    <w:p w:rsidR="007906A8" w:rsidRPr="001A38FE" w:rsidRDefault="007906A8" w:rsidP="00DF14F0">
      <w:pPr>
        <w:numPr>
          <w:ilvl w:val="0"/>
          <w:numId w:val="6"/>
        </w:numPr>
        <w:rPr>
          <w:rFonts w:ascii="Times New Roman" w:hAnsi="Times New Roman" w:cs="Times New Roman"/>
          <w:sz w:val="18"/>
          <w:szCs w:val="18"/>
          <w:lang w:val="bg"/>
        </w:rPr>
      </w:pPr>
      <w:r w:rsidRPr="001A38FE">
        <w:rPr>
          <w:rFonts w:ascii="Times New Roman" w:hAnsi="Times New Roman" w:cs="Times New Roman"/>
          <w:sz w:val="18"/>
          <w:szCs w:val="18"/>
          <w:lang w:val="bg"/>
        </w:rPr>
        <w:t>Държавите членки гарантират, че общностите за енергия от възобновяеми източници имат право:</w:t>
      </w:r>
    </w:p>
    <w:p w:rsidR="007906A8" w:rsidRPr="00D13962" w:rsidRDefault="007906A8" w:rsidP="00DF14F0">
      <w:pPr>
        <w:numPr>
          <w:ilvl w:val="0"/>
          <w:numId w:val="7"/>
        </w:numPr>
        <w:rPr>
          <w:rFonts w:ascii="Times New Roman" w:hAnsi="Times New Roman" w:cs="Times New Roman"/>
          <w:sz w:val="18"/>
          <w:szCs w:val="18"/>
          <w:lang w:val="bg"/>
        </w:rPr>
      </w:pPr>
      <w:r w:rsidRPr="001A38FE">
        <w:rPr>
          <w:rFonts w:ascii="Times New Roman" w:hAnsi="Times New Roman" w:cs="Times New Roman"/>
          <w:sz w:val="18"/>
          <w:szCs w:val="18"/>
          <w:lang w:val="bg"/>
        </w:rPr>
        <w:t>производство, потребление, съхранение и продажба на енергия от възобновяеми източници, включително чрез</w:t>
      </w:r>
      <w:r w:rsidRPr="00B058AD">
        <w:rPr>
          <w:rFonts w:ascii="Times New Roman" w:hAnsi="Times New Roman" w:cs="Times New Roman"/>
          <w:sz w:val="24"/>
          <w:szCs w:val="24"/>
          <w:lang w:val="bg"/>
        </w:rPr>
        <w:t xml:space="preserve"> </w:t>
      </w:r>
      <w:r w:rsidRPr="00D13962">
        <w:rPr>
          <w:rFonts w:ascii="Times New Roman" w:hAnsi="Times New Roman" w:cs="Times New Roman"/>
          <w:sz w:val="18"/>
          <w:szCs w:val="18"/>
          <w:lang w:val="bg"/>
        </w:rPr>
        <w:t>споразумения за закупуване на електроенергия от възобновяеми източници;</w:t>
      </w:r>
    </w:p>
    <w:p w:rsidR="007906A8" w:rsidRPr="00D13962" w:rsidRDefault="007906A8" w:rsidP="00DF14F0">
      <w:pPr>
        <w:numPr>
          <w:ilvl w:val="0"/>
          <w:numId w:val="7"/>
        </w:numPr>
        <w:rPr>
          <w:rFonts w:ascii="Times New Roman" w:hAnsi="Times New Roman" w:cs="Times New Roman"/>
          <w:sz w:val="18"/>
          <w:szCs w:val="18"/>
          <w:lang w:val="bg"/>
        </w:rPr>
      </w:pPr>
      <w:r w:rsidRPr="00D13962">
        <w:rPr>
          <w:rFonts w:ascii="Times New Roman" w:hAnsi="Times New Roman" w:cs="Times New Roman"/>
          <w:sz w:val="18"/>
          <w:szCs w:val="18"/>
          <w:lang w:val="bg"/>
        </w:rPr>
        <w:t>дял, в рамките на общността за енергия от възобновяеми източници, на енергията от възобновяеми източници, произведена от производствените единици, притежавани от тази общност за енергия от</w:t>
      </w:r>
      <w:r w:rsidRPr="00B058AD">
        <w:rPr>
          <w:rFonts w:ascii="Times New Roman" w:hAnsi="Times New Roman" w:cs="Times New Roman"/>
          <w:sz w:val="24"/>
          <w:szCs w:val="24"/>
          <w:lang w:val="bg"/>
        </w:rPr>
        <w:t xml:space="preserve"> </w:t>
      </w:r>
      <w:r w:rsidRPr="00D13962">
        <w:rPr>
          <w:rFonts w:ascii="Times New Roman" w:hAnsi="Times New Roman" w:cs="Times New Roman"/>
          <w:sz w:val="18"/>
          <w:szCs w:val="18"/>
          <w:lang w:val="bg"/>
        </w:rPr>
        <w:t>възобновяеми източници, при спазване на другите изисквания, определени в настоящия член, и при запазване</w:t>
      </w:r>
      <w:r w:rsidRPr="00B058AD">
        <w:rPr>
          <w:rFonts w:ascii="Times New Roman" w:hAnsi="Times New Roman" w:cs="Times New Roman"/>
          <w:sz w:val="24"/>
          <w:szCs w:val="24"/>
          <w:lang w:val="bg"/>
        </w:rPr>
        <w:t xml:space="preserve"> </w:t>
      </w:r>
      <w:r w:rsidRPr="00D13962">
        <w:rPr>
          <w:rFonts w:ascii="Times New Roman" w:hAnsi="Times New Roman" w:cs="Times New Roman"/>
          <w:sz w:val="18"/>
          <w:szCs w:val="18"/>
          <w:lang w:val="bg"/>
        </w:rPr>
        <w:t>на</w:t>
      </w:r>
      <w:r w:rsidRPr="00B058AD">
        <w:rPr>
          <w:rFonts w:ascii="Times New Roman" w:hAnsi="Times New Roman" w:cs="Times New Roman"/>
          <w:sz w:val="24"/>
          <w:szCs w:val="24"/>
          <w:lang w:val="bg"/>
        </w:rPr>
        <w:t xml:space="preserve"> </w:t>
      </w:r>
      <w:r w:rsidRPr="00D13962">
        <w:rPr>
          <w:rFonts w:ascii="Times New Roman" w:hAnsi="Times New Roman" w:cs="Times New Roman"/>
          <w:sz w:val="18"/>
          <w:szCs w:val="18"/>
          <w:lang w:val="bg"/>
        </w:rPr>
        <w:t xml:space="preserve">правата </w:t>
      </w:r>
      <w:r w:rsidRPr="00D13962">
        <w:rPr>
          <w:rFonts w:ascii="Times New Roman" w:hAnsi="Times New Roman" w:cs="Times New Roman"/>
          <w:sz w:val="18"/>
          <w:szCs w:val="18"/>
          <w:lang w:val="bg"/>
        </w:rPr>
        <w:lastRenderedPageBreak/>
        <w:t>и задълженията на членовете на общността за енергия от възобновяеми източници като клиенти;</w:t>
      </w:r>
    </w:p>
    <w:p w:rsidR="007906A8" w:rsidRPr="00D13962" w:rsidRDefault="007906A8" w:rsidP="00DF14F0">
      <w:pPr>
        <w:numPr>
          <w:ilvl w:val="0"/>
          <w:numId w:val="7"/>
        </w:numPr>
        <w:rPr>
          <w:rFonts w:ascii="Times New Roman" w:hAnsi="Times New Roman" w:cs="Times New Roman"/>
          <w:sz w:val="18"/>
          <w:szCs w:val="18"/>
          <w:lang w:val="bg"/>
        </w:rPr>
      </w:pPr>
      <w:r w:rsidRPr="00D13962">
        <w:rPr>
          <w:rFonts w:ascii="Times New Roman" w:hAnsi="Times New Roman" w:cs="Times New Roman"/>
          <w:sz w:val="18"/>
          <w:szCs w:val="18"/>
          <w:lang w:val="bg"/>
        </w:rPr>
        <w:t>достъп до всички подходящи енергийни пазари както пряко, така и чрез агрегиране по недискриминационен начин.</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да си сътрудничат с гражданските енергийни общности за улесняване на преноса на електроенергия в рамките на гражданските енергийни общности;</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д) гражданските енергийни общности подлежат на недискриминационни, справедливи, пропорционални и прозрачни процедури и такси, включително по отношение на регистрацията и лицензирането, както и на прозрачни, недискриминационни и отразяващи разходите такси за мрежата в съответствие с член 18 от Регламент (ЕС) 2019/943, като се гарантира, че те допринасят по адекватен и балансиран начин за поделянето на общите разходи за системата.</w:t>
      </w:r>
    </w:p>
    <w:p w:rsidR="007906A8" w:rsidRPr="00D13962" w:rsidRDefault="007906A8" w:rsidP="00DF14F0">
      <w:pPr>
        <w:numPr>
          <w:ilvl w:val="0"/>
          <w:numId w:val="8"/>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могат да предвидят в благоприятната регулаторна рамка, че гражданските енергийни общности:</w:t>
      </w:r>
    </w:p>
    <w:p w:rsidR="007906A8" w:rsidRPr="00D13962" w:rsidRDefault="007906A8" w:rsidP="00DF14F0">
      <w:pPr>
        <w:numPr>
          <w:ilvl w:val="0"/>
          <w:numId w:val="9"/>
        </w:numPr>
        <w:rPr>
          <w:rFonts w:ascii="Times New Roman" w:hAnsi="Times New Roman" w:cs="Times New Roman"/>
          <w:sz w:val="18"/>
          <w:szCs w:val="18"/>
          <w:lang w:val="bg"/>
        </w:rPr>
      </w:pPr>
      <w:r w:rsidRPr="00D13962">
        <w:rPr>
          <w:rFonts w:ascii="Times New Roman" w:hAnsi="Times New Roman" w:cs="Times New Roman"/>
          <w:sz w:val="18"/>
          <w:szCs w:val="18"/>
          <w:lang w:val="bg"/>
        </w:rPr>
        <w:t>са отворени за трансгранично участие;</w:t>
      </w:r>
    </w:p>
    <w:p w:rsidR="007906A8" w:rsidRPr="00D13962" w:rsidRDefault="007906A8" w:rsidP="00DF14F0">
      <w:pPr>
        <w:numPr>
          <w:ilvl w:val="0"/>
          <w:numId w:val="9"/>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право да притежават, създават, закупуват или отдават под наем разпределителни мрежи и да ги управляват самостоятелно при спазване на условията, посочени в параграф 4 от настоящия член;</w:t>
      </w:r>
    </w:p>
    <w:p w:rsidR="007906A8" w:rsidRPr="00D13962" w:rsidRDefault="007906A8" w:rsidP="00DF14F0">
      <w:pPr>
        <w:numPr>
          <w:ilvl w:val="0"/>
          <w:numId w:val="9"/>
        </w:numPr>
        <w:rPr>
          <w:rFonts w:ascii="Times New Roman" w:hAnsi="Times New Roman" w:cs="Times New Roman"/>
          <w:sz w:val="18"/>
          <w:szCs w:val="18"/>
          <w:lang w:val="bg"/>
        </w:rPr>
      </w:pPr>
      <w:r w:rsidRPr="00D13962">
        <w:rPr>
          <w:rFonts w:ascii="Times New Roman" w:hAnsi="Times New Roman" w:cs="Times New Roman"/>
          <w:sz w:val="18"/>
          <w:szCs w:val="18"/>
          <w:lang w:val="bg"/>
        </w:rPr>
        <w:t>подлежат на изключенията, предвидени в член 38, параграф 2.</w:t>
      </w:r>
    </w:p>
    <w:p w:rsidR="007906A8" w:rsidRPr="00D13962" w:rsidRDefault="007906A8" w:rsidP="00DF14F0">
      <w:pPr>
        <w:numPr>
          <w:ilvl w:val="0"/>
          <w:numId w:val="8"/>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гарантират, че гражданските енергийни общности:</w:t>
      </w:r>
    </w:p>
    <w:p w:rsidR="007906A8" w:rsidRPr="00D13962" w:rsidRDefault="007906A8" w:rsidP="00DF14F0">
      <w:pPr>
        <w:numPr>
          <w:ilvl w:val="0"/>
          <w:numId w:val="10"/>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достъп до всички пазари на електроенергия, пряко или чрез агрегиране, по недискриминационен начин;</w:t>
      </w:r>
    </w:p>
    <w:p w:rsidR="007906A8" w:rsidRPr="00D13962" w:rsidRDefault="007906A8" w:rsidP="00DF14F0">
      <w:pPr>
        <w:numPr>
          <w:ilvl w:val="0"/>
          <w:numId w:val="10"/>
        </w:numPr>
        <w:rPr>
          <w:rFonts w:ascii="Times New Roman" w:hAnsi="Times New Roman" w:cs="Times New Roman"/>
          <w:sz w:val="18"/>
          <w:szCs w:val="18"/>
          <w:lang w:val="bg"/>
        </w:rPr>
      </w:pPr>
      <w:r w:rsidRPr="00D13962">
        <w:rPr>
          <w:rFonts w:ascii="Times New Roman" w:hAnsi="Times New Roman" w:cs="Times New Roman"/>
          <w:sz w:val="18"/>
          <w:szCs w:val="18"/>
          <w:lang w:val="bg"/>
        </w:rPr>
        <w:t>се третират по недискриминационен и пропорционален начин по отношение на техните дейности, права и задължения като крайни клиенти, производители, доставчици, оператори на разпределителни системи или участници на пазара, извършващи агрегиране;</w:t>
      </w:r>
    </w:p>
    <w:p w:rsidR="007906A8" w:rsidRPr="00D13962" w:rsidRDefault="007906A8" w:rsidP="00DF14F0">
      <w:pPr>
        <w:numPr>
          <w:ilvl w:val="0"/>
          <w:numId w:val="10"/>
        </w:numPr>
        <w:rPr>
          <w:rFonts w:ascii="Times New Roman" w:hAnsi="Times New Roman" w:cs="Times New Roman"/>
          <w:sz w:val="18"/>
          <w:szCs w:val="18"/>
          <w:lang w:val="bg"/>
        </w:rPr>
      </w:pPr>
      <w:r w:rsidRPr="00D13962">
        <w:rPr>
          <w:rFonts w:ascii="Times New Roman" w:hAnsi="Times New Roman" w:cs="Times New Roman"/>
          <w:sz w:val="18"/>
          <w:szCs w:val="18"/>
          <w:lang w:val="bg"/>
        </w:rPr>
        <w:t>носят финансова отговорност за дисбалансите, които причиняват в електроенергийната система; в тази степен те са отговорни за баланса страни или делегират своята отговорност за балансирането в съответствие с член 5 от Регламент (ЕС) 2019/943;</w:t>
      </w:r>
    </w:p>
    <w:p w:rsidR="007906A8" w:rsidRPr="00D13962" w:rsidRDefault="007906A8" w:rsidP="00DF14F0">
      <w:pPr>
        <w:numPr>
          <w:ilvl w:val="0"/>
          <w:numId w:val="10"/>
        </w:numPr>
        <w:rPr>
          <w:rFonts w:ascii="Times New Roman" w:hAnsi="Times New Roman" w:cs="Times New Roman"/>
          <w:sz w:val="18"/>
          <w:szCs w:val="18"/>
          <w:lang w:val="bg"/>
        </w:rPr>
      </w:pPr>
      <w:r w:rsidRPr="00D13962">
        <w:rPr>
          <w:rFonts w:ascii="Times New Roman" w:hAnsi="Times New Roman" w:cs="Times New Roman"/>
          <w:sz w:val="18"/>
          <w:szCs w:val="18"/>
          <w:lang w:val="bg"/>
        </w:rPr>
        <w:t>по отношение на потреблението на произведена от самите тях електроенергия гражданските енергийни общности се третират като активни клиенти в съответствие с член 15, параграф 2, буква д);</w:t>
      </w:r>
    </w:p>
    <w:p w:rsidR="007906A8" w:rsidRPr="00D13962" w:rsidRDefault="007906A8" w:rsidP="00DF14F0">
      <w:pPr>
        <w:numPr>
          <w:ilvl w:val="0"/>
          <w:numId w:val="10"/>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право да организират в рамките на гражданската енергийна общност споделянето на електроенергия, произведена от производствените единици, притежавани от общността, при спазване на другите изисквания, определени в настоящия член, и при условие че членовете на общността запазят своите права и задължения като крайни клиенти.</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 xml:space="preserve">За целите на първа алинея, буква д), когато електроенергията се споделя, това не засяга приложимите мрежови такси, тарифи и налози в съответствие с </w:t>
      </w:r>
      <w:r w:rsidRPr="00D13962">
        <w:rPr>
          <w:rFonts w:ascii="Times New Roman" w:hAnsi="Times New Roman" w:cs="Times New Roman"/>
          <w:sz w:val="18"/>
          <w:szCs w:val="18"/>
          <w:lang w:val="bg"/>
        </w:rPr>
        <w:t>прозрачен анализ на разходите и ползите от разпределените енергийни ресурси, разработен от компетентния национален орган.</w:t>
      </w:r>
    </w:p>
    <w:p w:rsidR="007906A8" w:rsidRPr="00D13962" w:rsidRDefault="007906A8" w:rsidP="00DF14F0">
      <w:pPr>
        <w:numPr>
          <w:ilvl w:val="0"/>
          <w:numId w:val="8"/>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могат да решат да предоставят на гражданските енергийни общности правото да управляват разпределителните мрежи в</w:t>
      </w:r>
    </w:p>
    <w:p w:rsidR="007906A8" w:rsidRPr="00D13962" w:rsidRDefault="007906A8" w:rsidP="00DF14F0">
      <w:pPr>
        <w:numPr>
          <w:ilvl w:val="0"/>
          <w:numId w:val="11"/>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извършват оценка на съществуващите пречки и потенциала за развитие на общностите за енергия от възобновяеми източници на своите територии.</w:t>
      </w:r>
    </w:p>
    <w:p w:rsidR="007906A8" w:rsidRPr="00D13962" w:rsidRDefault="007906A8" w:rsidP="00DF14F0">
      <w:pPr>
        <w:numPr>
          <w:ilvl w:val="0"/>
          <w:numId w:val="11"/>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осигуряват благоприятна рамка за насърчаване и улесняване на развитието на общностите за енергия от възобновяеми източници. Тази рамка гарантира, наред с другото, че:</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премахват се необоснованите регулаторни и административни пречки пред общностите за енергия от възобновяеми източници;</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общностите за енергия от възобновяеми източници, които доставят енергия или предоставят агрегиране или други търговски енергийни услуги, са предмет на разпоредбите, свързани с такива дейности;</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съответният оператор на разпределителна система си сътрудничи с общностите за енергия от възобновяеми източници, за да улесни преноса на енергия в рамките на общностите за енергия от възобновяеми източници;</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общностите за енергия от възобновяеми източници подлежат на справедливи, пропорционални и прозрачни процедури, включително процедури за регистрация и лицензиране, и отразяващи разходите такси за мрежата, както и съответните такси, налози и данъци, като се гарантира, че те допринасят по адекватен, справедлив и балансиран начин за поделянето на общите разходи на системата в съответствие с прозрачен анализ на разходите и ползите от разпределените енергийни източници, разработен от националните компетентни органи;</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общностите за енергия от възобновяеми източници не са обект на дискриминационно третиране по отношение на своите дейности, права и задължения като крайни клиенти, производители, доставчици, оператори на разпределителни системи или като други участници на пазара;</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участието в общностите за енергия от възобновяеми източници е достъпно за всички потребители, включително тези в домакинства с ниски доходи или уязвими домакинства;</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налице са инструменти за улесняване на достъпа до финансиране и информация;</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на публичните органи се предоставя регулаторна подкрепа и подкрепа за изграждане на капацитет за създаване на възможности и създаване на общности за енергия от възобновяеми източници, както и за подпомагане на прякото участие на органите;</w:t>
      </w:r>
    </w:p>
    <w:p w:rsidR="007906A8" w:rsidRPr="00D13962" w:rsidRDefault="007906A8" w:rsidP="00DF14F0">
      <w:pPr>
        <w:numPr>
          <w:ilvl w:val="0"/>
          <w:numId w:val="12"/>
        </w:numPr>
        <w:rPr>
          <w:rFonts w:ascii="Times New Roman" w:hAnsi="Times New Roman" w:cs="Times New Roman"/>
          <w:sz w:val="18"/>
          <w:szCs w:val="18"/>
          <w:lang w:val="bg"/>
        </w:rPr>
      </w:pPr>
      <w:r w:rsidRPr="00D13962">
        <w:rPr>
          <w:rFonts w:ascii="Times New Roman" w:hAnsi="Times New Roman" w:cs="Times New Roman"/>
          <w:sz w:val="18"/>
          <w:szCs w:val="18"/>
          <w:lang w:val="bg"/>
        </w:rPr>
        <w:t xml:space="preserve">въведени са правила за осигуряване на равно и недискриминационно третиране на потребителите, които </w:t>
      </w:r>
      <w:r w:rsidRPr="00D13962">
        <w:rPr>
          <w:rFonts w:ascii="Times New Roman" w:hAnsi="Times New Roman" w:cs="Times New Roman"/>
          <w:sz w:val="18"/>
          <w:szCs w:val="18"/>
          <w:lang w:val="bg"/>
        </w:rPr>
        <w:lastRenderedPageBreak/>
        <w:t>участват в общността за енергия от възобновяеми източници.</w:t>
      </w:r>
    </w:p>
    <w:p w:rsidR="007906A8" w:rsidRPr="00D13962" w:rsidRDefault="007906A8" w:rsidP="00DF14F0">
      <w:pPr>
        <w:numPr>
          <w:ilvl w:val="0"/>
          <w:numId w:val="11"/>
        </w:numPr>
        <w:rPr>
          <w:rFonts w:ascii="Times New Roman" w:hAnsi="Times New Roman" w:cs="Times New Roman"/>
          <w:sz w:val="18"/>
          <w:szCs w:val="18"/>
          <w:lang w:val="bg"/>
        </w:rPr>
      </w:pPr>
      <w:r w:rsidRPr="00D13962">
        <w:rPr>
          <w:rFonts w:ascii="Times New Roman" w:hAnsi="Times New Roman" w:cs="Times New Roman"/>
          <w:sz w:val="18"/>
          <w:szCs w:val="18"/>
          <w:lang w:val="bg"/>
        </w:rPr>
        <w:t>Основните елементи на благоприятстващата рамка, посочена в параграф 4, и на нейното прилагане са част от актуализациите на интегрираните национални планове на държавите членки в областта на енергетиката и климата и докладите за напредъка съгласно Регламент (ЕС) 2018/1999.</w:t>
      </w:r>
    </w:p>
    <w:p w:rsidR="007906A8" w:rsidRPr="00D13962" w:rsidRDefault="007906A8" w:rsidP="00DF14F0">
      <w:pPr>
        <w:numPr>
          <w:ilvl w:val="0"/>
          <w:numId w:val="11"/>
        </w:numPr>
        <w:rPr>
          <w:rFonts w:ascii="Times New Roman" w:hAnsi="Times New Roman" w:cs="Times New Roman"/>
          <w:sz w:val="18"/>
          <w:szCs w:val="18"/>
          <w:lang w:val="bg"/>
        </w:rPr>
      </w:pPr>
      <w:r w:rsidRPr="00D13962">
        <w:rPr>
          <w:rFonts w:ascii="Times New Roman" w:hAnsi="Times New Roman" w:cs="Times New Roman"/>
          <w:sz w:val="18"/>
          <w:szCs w:val="18"/>
          <w:lang w:val="bg"/>
        </w:rPr>
        <w:t>Държавите членки могат да предвидят общностите за енергия от възобновяеми източници да бъдат отворени за трансгранично участие.</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тяхната област на дейност и установяват съответните процедури, без да се засягат глава IV или други правила и разпоредби, приложими за операторите на разпределителни системи. Ако бъде предоставено такова право, държавите членки гарантират, че гражданските енергийни общности:</w:t>
      </w:r>
    </w:p>
    <w:p w:rsidR="007906A8" w:rsidRPr="00D13962" w:rsidRDefault="007906A8" w:rsidP="00DF14F0">
      <w:pPr>
        <w:numPr>
          <w:ilvl w:val="0"/>
          <w:numId w:val="13"/>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право да сключат споразумение за експлоатацията на своята мрежа със съответния оператор на разпределителна система или оператор на преносна система, към която е свързана тяхната мрежа;</w:t>
      </w:r>
    </w:p>
    <w:p w:rsidR="007906A8" w:rsidRPr="00D13962" w:rsidRDefault="007906A8" w:rsidP="00DF14F0">
      <w:pPr>
        <w:numPr>
          <w:ilvl w:val="0"/>
          <w:numId w:val="13"/>
        </w:numPr>
        <w:rPr>
          <w:rFonts w:ascii="Times New Roman" w:hAnsi="Times New Roman" w:cs="Times New Roman"/>
          <w:sz w:val="18"/>
          <w:szCs w:val="18"/>
          <w:lang w:val="bg"/>
        </w:rPr>
      </w:pPr>
      <w:r w:rsidRPr="00D13962">
        <w:rPr>
          <w:rFonts w:ascii="Times New Roman" w:hAnsi="Times New Roman" w:cs="Times New Roman"/>
          <w:sz w:val="18"/>
          <w:szCs w:val="18"/>
          <w:lang w:val="bg"/>
        </w:rPr>
        <w:t>подлежат на подходящи такси за мрежата в точките на присъединяване между тяхната мрежа и разпределителната мрежа извън гражданската енергийна общност и тези такси за мрежата отчитат отделно електроенергията, подавана в разпределителната мрежа, и електроенергията, потребявана от разпределителната мрежа извън гражданската енергийна общност в съответствие с член 59, параграф 7;</w:t>
      </w:r>
    </w:p>
    <w:p w:rsidR="007906A8" w:rsidRPr="00D13962" w:rsidRDefault="007906A8" w:rsidP="00DF14F0">
      <w:pPr>
        <w:numPr>
          <w:ilvl w:val="0"/>
          <w:numId w:val="13"/>
        </w:numPr>
        <w:rPr>
          <w:rFonts w:ascii="Times New Roman" w:hAnsi="Times New Roman" w:cs="Times New Roman"/>
          <w:sz w:val="18"/>
          <w:szCs w:val="18"/>
          <w:lang w:val="bg"/>
        </w:rPr>
      </w:pPr>
      <w:r w:rsidRPr="00D13962">
        <w:rPr>
          <w:rFonts w:ascii="Times New Roman" w:hAnsi="Times New Roman" w:cs="Times New Roman"/>
          <w:sz w:val="18"/>
          <w:szCs w:val="18"/>
          <w:lang w:val="bg"/>
        </w:rPr>
        <w:t>не дискриминират и не вредят на клиентите, които остават свързани към разпределителната система.</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b/>
          <w:bCs/>
          <w:sz w:val="18"/>
          <w:szCs w:val="18"/>
          <w:lang w:val="bg"/>
        </w:rPr>
        <w:t>Българска регулаторна рамка — член 92б под ИУ</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Член 92б (Нов - ДВ, бр. 86 от 2023 г., в сила от 13.10.2023 г.) (1) Крайните клиенти, включително битовите, могат да участват в гражданска енергийна общност, без да губят правата или задълженията си като крайни клиенти и без да изпълняват неразумни или дискриминационни условия или процедури, които биха възпрепятствали участието им в гражданската енергийна общност. Когато предприятията участват в граждански енергийни общности, тяхното участие не трябва да бъде свързано с основната им търговска или професионална дейност.</w:t>
      </w:r>
    </w:p>
    <w:p w:rsidR="007906A8" w:rsidRPr="00D13962" w:rsidRDefault="007906A8" w:rsidP="00DF14F0">
      <w:pPr>
        <w:numPr>
          <w:ilvl w:val="0"/>
          <w:numId w:val="14"/>
        </w:numPr>
        <w:rPr>
          <w:rFonts w:ascii="Times New Roman" w:hAnsi="Times New Roman" w:cs="Times New Roman"/>
          <w:sz w:val="18"/>
          <w:szCs w:val="18"/>
          <w:lang w:val="bg"/>
        </w:rPr>
      </w:pPr>
      <w:r w:rsidRPr="00D13962">
        <w:rPr>
          <w:rFonts w:ascii="Times New Roman" w:hAnsi="Times New Roman" w:cs="Times New Roman"/>
          <w:sz w:val="18"/>
          <w:szCs w:val="18"/>
          <w:lang w:val="bg"/>
        </w:rPr>
        <w:t>Гражданските енергийни общности могат да бъдат организирани под формата на търговско дружество, кооперация, сдружение с нестопанска цел по Закона за управление на етажната собственост или гражданско сдружение по Закона за задълженията и договорите, при спазване на изискванията на този закон.</w:t>
      </w:r>
    </w:p>
    <w:p w:rsidR="007906A8" w:rsidRPr="00D13962" w:rsidRDefault="007906A8" w:rsidP="00DF14F0">
      <w:pPr>
        <w:numPr>
          <w:ilvl w:val="0"/>
          <w:numId w:val="14"/>
        </w:numPr>
        <w:rPr>
          <w:rFonts w:ascii="Times New Roman" w:hAnsi="Times New Roman" w:cs="Times New Roman"/>
          <w:sz w:val="18"/>
          <w:szCs w:val="18"/>
          <w:lang w:val="bg"/>
        </w:rPr>
      </w:pPr>
      <w:r w:rsidRPr="00D13962">
        <w:rPr>
          <w:rFonts w:ascii="Times New Roman" w:hAnsi="Times New Roman" w:cs="Times New Roman"/>
          <w:sz w:val="18"/>
          <w:szCs w:val="18"/>
          <w:lang w:val="bg"/>
        </w:rPr>
        <w:t>Отношенията между членовете на гражданската енергийна общност се определят със закон или договор според избраната организационна форма, която задължително съдържа следното:</w:t>
      </w:r>
    </w:p>
    <w:p w:rsidR="007906A8" w:rsidRPr="00D13962" w:rsidRDefault="007906A8" w:rsidP="00DF14F0">
      <w:pPr>
        <w:numPr>
          <w:ilvl w:val="0"/>
          <w:numId w:val="15"/>
        </w:numPr>
        <w:rPr>
          <w:rFonts w:ascii="Times New Roman" w:hAnsi="Times New Roman" w:cs="Times New Roman"/>
          <w:sz w:val="18"/>
          <w:szCs w:val="18"/>
          <w:lang w:val="bg"/>
        </w:rPr>
      </w:pPr>
      <w:r w:rsidRPr="00D13962">
        <w:rPr>
          <w:rFonts w:ascii="Times New Roman" w:hAnsi="Times New Roman" w:cs="Times New Roman"/>
          <w:sz w:val="18"/>
          <w:szCs w:val="18"/>
          <w:lang w:val="bg"/>
        </w:rPr>
        <w:t>основните цели, свързани с екологичните, икономическите и/или социалните ползи за членовете и/или региона;</w:t>
      </w:r>
    </w:p>
    <w:p w:rsidR="007906A8" w:rsidRPr="00D13962" w:rsidRDefault="007906A8" w:rsidP="00DF14F0">
      <w:pPr>
        <w:numPr>
          <w:ilvl w:val="0"/>
          <w:numId w:val="15"/>
        </w:numPr>
        <w:rPr>
          <w:rFonts w:ascii="Times New Roman" w:hAnsi="Times New Roman" w:cs="Times New Roman"/>
          <w:sz w:val="18"/>
          <w:szCs w:val="18"/>
          <w:lang w:val="bg"/>
        </w:rPr>
      </w:pPr>
      <w:r w:rsidRPr="00D13962">
        <w:rPr>
          <w:rFonts w:ascii="Times New Roman" w:hAnsi="Times New Roman" w:cs="Times New Roman"/>
          <w:sz w:val="18"/>
          <w:szCs w:val="18"/>
          <w:lang w:val="bg"/>
        </w:rPr>
        <w:t>условията за разработване на проекти за производство, потребление, съхранение, продажба и/или споделяне на енергия в рамките на общността в съответствие с предмета на дейност на общността и правата и задълженията на членовете на общността във връзка с това;</w:t>
      </w:r>
    </w:p>
    <w:p w:rsidR="007906A8" w:rsidRPr="00D13962" w:rsidRDefault="007906A8" w:rsidP="00DF14F0">
      <w:pPr>
        <w:numPr>
          <w:ilvl w:val="0"/>
          <w:numId w:val="15"/>
        </w:numPr>
        <w:rPr>
          <w:rFonts w:ascii="Times New Roman" w:hAnsi="Times New Roman" w:cs="Times New Roman"/>
          <w:sz w:val="18"/>
          <w:szCs w:val="18"/>
          <w:lang w:val="bg"/>
        </w:rPr>
      </w:pPr>
      <w:r w:rsidRPr="00D13962">
        <w:rPr>
          <w:rFonts w:ascii="Times New Roman" w:hAnsi="Times New Roman" w:cs="Times New Roman"/>
          <w:sz w:val="18"/>
          <w:szCs w:val="18"/>
          <w:lang w:val="bg"/>
        </w:rPr>
        <w:t>условията за набиране и изразходване на средствата по отношение на екологичните, икономическите и/или социалните дейности и цели на общността;</w:t>
      </w:r>
    </w:p>
    <w:p w:rsidR="007906A8" w:rsidRPr="00D13962" w:rsidRDefault="007906A8" w:rsidP="00DF14F0">
      <w:pPr>
        <w:numPr>
          <w:ilvl w:val="0"/>
          <w:numId w:val="15"/>
        </w:numPr>
        <w:rPr>
          <w:rFonts w:ascii="Times New Roman" w:hAnsi="Times New Roman" w:cs="Times New Roman"/>
          <w:sz w:val="18"/>
          <w:szCs w:val="18"/>
          <w:lang w:val="bg"/>
        </w:rPr>
      </w:pPr>
      <w:r w:rsidRPr="00D13962">
        <w:rPr>
          <w:rFonts w:ascii="Times New Roman" w:hAnsi="Times New Roman" w:cs="Times New Roman"/>
          <w:sz w:val="18"/>
          <w:szCs w:val="18"/>
          <w:lang w:val="bg"/>
        </w:rPr>
        <w:t>реда и условията за защита на правата на членовете на общността като потребители на енергия;</w:t>
      </w:r>
    </w:p>
    <w:p w:rsidR="007906A8" w:rsidRPr="00D13962" w:rsidRDefault="007906A8" w:rsidP="00DF14F0">
      <w:pPr>
        <w:numPr>
          <w:ilvl w:val="0"/>
          <w:numId w:val="16"/>
        </w:numPr>
        <w:rPr>
          <w:rFonts w:ascii="Times New Roman" w:hAnsi="Times New Roman" w:cs="Times New Roman"/>
          <w:sz w:val="18"/>
          <w:szCs w:val="18"/>
          <w:lang w:val="bg"/>
        </w:rPr>
      </w:pPr>
      <w:r w:rsidRPr="00D13962">
        <w:rPr>
          <w:rFonts w:ascii="Times New Roman" w:hAnsi="Times New Roman" w:cs="Times New Roman"/>
          <w:sz w:val="18"/>
          <w:szCs w:val="18"/>
          <w:lang w:val="bg"/>
        </w:rPr>
        <w:t>Без да се засягат членове 107 и 108 от ДФЕС, държавите членки вземат предвид особеностите на общностите за енергия от възобновяеми източници при разработването на схеми за подпомагане, за да им се даде възможност да се конкурират за подпомагане на равни начала с другите участници на пазара.</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b/>
          <w:bCs/>
          <w:sz w:val="18"/>
          <w:szCs w:val="18"/>
          <w:lang w:val="bg"/>
        </w:rPr>
        <w:t>Българска регулаторна рамка — член 18б от ERSA:</w:t>
      </w:r>
    </w:p>
    <w:p w:rsidR="007906A8" w:rsidRPr="00D13962" w:rsidRDefault="007906A8" w:rsidP="00B058AD">
      <w:pPr>
        <w:rPr>
          <w:rFonts w:ascii="Times New Roman" w:hAnsi="Times New Roman" w:cs="Times New Roman"/>
          <w:sz w:val="18"/>
          <w:szCs w:val="18"/>
          <w:lang w:val="bg"/>
        </w:rPr>
      </w:pPr>
      <w:r w:rsidRPr="00D13962">
        <w:rPr>
          <w:rFonts w:ascii="Times New Roman" w:hAnsi="Times New Roman" w:cs="Times New Roman"/>
          <w:sz w:val="18"/>
          <w:szCs w:val="18"/>
          <w:lang w:val="bg"/>
        </w:rPr>
        <w:t>Член 18б (Нов - ДВ, бр. 86 от 2023 г., в сила от 13.10.2023 г.) (1) Крайните клиенти, включително битовите клиенти, могат да участват в общност за енергия от възобновяеми източници, без да губят правата или задълженията си като крайни клиенти и без да се налага да изпълняват неразумни или дискриминационни условия или процедури, които биха възпрепятствали участието им в общност за енергия от възобновяеми източници. В случай на участие на предприятия тяхното участие не трябва да е свързано с основната им търговска или професионална дейност.</w:t>
      </w:r>
    </w:p>
    <w:p w:rsidR="007906A8" w:rsidRPr="00D13962" w:rsidRDefault="007906A8" w:rsidP="00DF14F0">
      <w:pPr>
        <w:numPr>
          <w:ilvl w:val="0"/>
          <w:numId w:val="17"/>
        </w:numPr>
        <w:rPr>
          <w:rFonts w:ascii="Times New Roman" w:hAnsi="Times New Roman" w:cs="Times New Roman"/>
          <w:sz w:val="18"/>
          <w:szCs w:val="18"/>
          <w:lang w:val="bg"/>
        </w:rPr>
      </w:pPr>
      <w:r w:rsidRPr="00D13962">
        <w:rPr>
          <w:rFonts w:ascii="Times New Roman" w:hAnsi="Times New Roman" w:cs="Times New Roman"/>
          <w:sz w:val="18"/>
          <w:szCs w:val="18"/>
          <w:lang w:val="bg"/>
        </w:rPr>
        <w:t>Общности за възобновяема енергия:</w:t>
      </w:r>
    </w:p>
    <w:p w:rsidR="007906A8" w:rsidRPr="00D13962" w:rsidRDefault="007906A8" w:rsidP="00DF14F0">
      <w:pPr>
        <w:numPr>
          <w:ilvl w:val="0"/>
          <w:numId w:val="18"/>
        </w:numPr>
        <w:rPr>
          <w:rFonts w:ascii="Times New Roman" w:hAnsi="Times New Roman" w:cs="Times New Roman"/>
          <w:sz w:val="18"/>
          <w:szCs w:val="18"/>
          <w:lang w:val="bg"/>
        </w:rPr>
      </w:pPr>
      <w:r w:rsidRPr="00D13962">
        <w:rPr>
          <w:rFonts w:ascii="Times New Roman" w:hAnsi="Times New Roman" w:cs="Times New Roman"/>
          <w:sz w:val="18"/>
          <w:szCs w:val="18"/>
          <w:lang w:val="bg"/>
        </w:rPr>
        <w:t>може да произвежда, потребява, съхранява и продава излишни количества енергия от възобновяеми източници като равноправен участник на енергийните пазари при условията, определени в Закона за енергетиката, включително чрез договори за изкупуване на електрическа енергия;</w:t>
      </w:r>
    </w:p>
    <w:p w:rsidR="007906A8" w:rsidRPr="00D13962" w:rsidRDefault="007906A8" w:rsidP="00DF14F0">
      <w:pPr>
        <w:numPr>
          <w:ilvl w:val="0"/>
          <w:numId w:val="18"/>
        </w:numPr>
        <w:rPr>
          <w:rFonts w:ascii="Times New Roman" w:hAnsi="Times New Roman" w:cs="Times New Roman"/>
          <w:sz w:val="18"/>
          <w:szCs w:val="18"/>
          <w:lang w:val="bg"/>
        </w:rPr>
      </w:pPr>
      <w:r w:rsidRPr="00D13962">
        <w:rPr>
          <w:rFonts w:ascii="Times New Roman" w:hAnsi="Times New Roman" w:cs="Times New Roman"/>
          <w:sz w:val="18"/>
          <w:szCs w:val="18"/>
          <w:lang w:val="bg"/>
        </w:rPr>
        <w:t>могат да споделят в рамките на общността за енергия от възобновяеми източници енергията, произведена от инсталации, притежавани от общността за енергия от възобновяеми източници, като се зачитат правата и задълженията на членовете на общността за енергия от възобновяеми източници като потребители;</w:t>
      </w:r>
    </w:p>
    <w:p w:rsidR="007906A8" w:rsidRPr="00D13962" w:rsidRDefault="007906A8" w:rsidP="00DF14F0">
      <w:pPr>
        <w:numPr>
          <w:ilvl w:val="0"/>
          <w:numId w:val="18"/>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достъп по недискриминационен начин до всички съответни енергийни пазари.</w:t>
      </w:r>
    </w:p>
    <w:p w:rsidR="007906A8" w:rsidRPr="00D13962" w:rsidRDefault="007906A8" w:rsidP="00DF14F0">
      <w:pPr>
        <w:numPr>
          <w:ilvl w:val="0"/>
          <w:numId w:val="17"/>
        </w:numPr>
        <w:rPr>
          <w:rFonts w:ascii="Times New Roman" w:hAnsi="Times New Roman" w:cs="Times New Roman"/>
          <w:sz w:val="18"/>
          <w:szCs w:val="18"/>
          <w:lang w:val="bg"/>
        </w:rPr>
      </w:pPr>
      <w:r w:rsidRPr="00D13962">
        <w:rPr>
          <w:rFonts w:ascii="Times New Roman" w:hAnsi="Times New Roman" w:cs="Times New Roman"/>
          <w:sz w:val="18"/>
          <w:szCs w:val="18"/>
          <w:lang w:val="bg"/>
        </w:rPr>
        <w:t>Развитието на общности за енергия от възобновяеми източници се насърчава чрез:</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t>премахване на необосновани регулаторни и административни пречки;</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t>прилагане на изискванията на Закона за енергетиката при продажба на енергийни и други енергийни услуги;</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t>осигуряване на сътрудничество със съответния оператор на разпределителна мрежа и топлопреносно предприятие за пренос на енергия в общността;</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lastRenderedPageBreak/>
        <w:t>компетентните органи, като прилагат справедливи, пропорционални и прозрачни административни процедури, включително регистрация и лицензиране, и гарантират, че регулираните цени за мрежови услуги се прилагат за всички ползватели на мрежата, което следва да допринесе по адекватен, справедлив и балансиран начин за разпределението на общите разходи за системата в съответствие с прозрачен анализ на разходите и ползите от разпределените енергийни ресурси;</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t>прилагане на недискриминационно третиране на общностите във връзка с техните дейности, права и задължения като крайни ползватели, производители, доставчици, оператори на разпределителни системи или като други участници на пазара;</w:t>
      </w:r>
    </w:p>
    <w:p w:rsidR="007906A8" w:rsidRPr="00D13962" w:rsidRDefault="007906A8" w:rsidP="00DF14F0">
      <w:pPr>
        <w:numPr>
          <w:ilvl w:val="0"/>
          <w:numId w:val="19"/>
        </w:numPr>
        <w:rPr>
          <w:rFonts w:ascii="Times New Roman" w:hAnsi="Times New Roman" w:cs="Times New Roman"/>
          <w:sz w:val="18"/>
          <w:szCs w:val="18"/>
          <w:lang w:val="bg"/>
        </w:rPr>
      </w:pPr>
      <w:r w:rsidRPr="00D13962">
        <w:rPr>
          <w:rFonts w:ascii="Times New Roman" w:hAnsi="Times New Roman" w:cs="Times New Roman"/>
          <w:sz w:val="18"/>
          <w:szCs w:val="18"/>
          <w:lang w:val="bg"/>
        </w:rPr>
        <w:t>видовете фондове, условията за разпределение на дивидентите и метода за определяне на техния размер.</w:t>
      </w:r>
    </w:p>
    <w:p w:rsidR="007906A8" w:rsidRPr="00D13962" w:rsidRDefault="007906A8" w:rsidP="00DF14F0">
      <w:pPr>
        <w:numPr>
          <w:ilvl w:val="0"/>
          <w:numId w:val="17"/>
        </w:numPr>
        <w:rPr>
          <w:rFonts w:ascii="Times New Roman" w:hAnsi="Times New Roman" w:cs="Times New Roman"/>
          <w:sz w:val="18"/>
          <w:szCs w:val="18"/>
          <w:lang w:val="bg"/>
        </w:rPr>
      </w:pPr>
      <w:r w:rsidRPr="00D13962">
        <w:rPr>
          <w:rFonts w:ascii="Times New Roman" w:hAnsi="Times New Roman" w:cs="Times New Roman"/>
          <w:sz w:val="18"/>
          <w:szCs w:val="18"/>
          <w:lang w:val="bg"/>
        </w:rPr>
        <w:t>Граждански енергийни общности:</w:t>
      </w:r>
    </w:p>
    <w:p w:rsidR="007906A8" w:rsidRPr="00D13962" w:rsidRDefault="007906A8" w:rsidP="00DF14F0">
      <w:pPr>
        <w:numPr>
          <w:ilvl w:val="0"/>
          <w:numId w:val="20"/>
        </w:numPr>
        <w:rPr>
          <w:rFonts w:ascii="Times New Roman" w:hAnsi="Times New Roman" w:cs="Times New Roman"/>
          <w:sz w:val="18"/>
          <w:szCs w:val="18"/>
          <w:lang w:val="bg"/>
        </w:rPr>
      </w:pPr>
      <w:r w:rsidRPr="00D13962">
        <w:rPr>
          <w:rFonts w:ascii="Times New Roman" w:hAnsi="Times New Roman" w:cs="Times New Roman"/>
          <w:sz w:val="18"/>
          <w:szCs w:val="18"/>
          <w:lang w:val="bg"/>
        </w:rPr>
        <w:t>може да произвежда, потребява, съхранява и продава излишни количества енергия като равноправен участник на енергийните пазари при условията, определени в този закон и във вторичното законодателство по прилагането му, включително чрез споразумения за закупуване на електрическа енергия;</w:t>
      </w:r>
    </w:p>
    <w:p w:rsidR="007906A8" w:rsidRPr="00D13962" w:rsidRDefault="007906A8" w:rsidP="00DF14F0">
      <w:pPr>
        <w:numPr>
          <w:ilvl w:val="0"/>
          <w:numId w:val="20"/>
        </w:numPr>
        <w:rPr>
          <w:rFonts w:ascii="Times New Roman" w:hAnsi="Times New Roman" w:cs="Times New Roman"/>
          <w:sz w:val="18"/>
          <w:szCs w:val="18"/>
          <w:lang w:val="bg"/>
        </w:rPr>
      </w:pPr>
      <w:r w:rsidRPr="00D13962">
        <w:rPr>
          <w:rFonts w:ascii="Times New Roman" w:hAnsi="Times New Roman" w:cs="Times New Roman"/>
          <w:sz w:val="18"/>
          <w:szCs w:val="18"/>
          <w:lang w:val="bg"/>
        </w:rPr>
        <w:t>могат да споделят в рамките на общността енергията, произведена от инсталации, притежавани от общността, като същевременно зачитат правата и задълженията на членовете като потребители;</w:t>
      </w:r>
    </w:p>
    <w:p w:rsidR="007906A8" w:rsidRPr="00D13962" w:rsidRDefault="007906A8" w:rsidP="00DF14F0">
      <w:pPr>
        <w:numPr>
          <w:ilvl w:val="0"/>
          <w:numId w:val="20"/>
        </w:numPr>
        <w:rPr>
          <w:rFonts w:ascii="Times New Roman" w:hAnsi="Times New Roman" w:cs="Times New Roman"/>
          <w:sz w:val="18"/>
          <w:szCs w:val="18"/>
          <w:lang w:val="bg"/>
        </w:rPr>
      </w:pPr>
      <w:r w:rsidRPr="00D13962">
        <w:rPr>
          <w:rFonts w:ascii="Times New Roman" w:hAnsi="Times New Roman" w:cs="Times New Roman"/>
          <w:sz w:val="18"/>
          <w:szCs w:val="18"/>
          <w:lang w:val="bg"/>
        </w:rPr>
        <w:t>имат достъп по недискриминационен начин до всички съответни енергийни пазари.</w:t>
      </w:r>
    </w:p>
    <w:p w:rsidR="007906A8" w:rsidRPr="00D13962" w:rsidRDefault="007906A8" w:rsidP="00DF14F0">
      <w:pPr>
        <w:numPr>
          <w:ilvl w:val="0"/>
          <w:numId w:val="17"/>
        </w:numPr>
        <w:rPr>
          <w:rFonts w:ascii="Times New Roman" w:hAnsi="Times New Roman" w:cs="Times New Roman"/>
          <w:sz w:val="18"/>
          <w:szCs w:val="18"/>
          <w:lang w:val="bg"/>
        </w:rPr>
      </w:pPr>
      <w:r w:rsidRPr="00D13962">
        <w:rPr>
          <w:rFonts w:ascii="Times New Roman" w:hAnsi="Times New Roman" w:cs="Times New Roman"/>
          <w:sz w:val="18"/>
          <w:szCs w:val="18"/>
          <w:lang w:val="bg"/>
        </w:rPr>
        <w:t>Развитието на гражданските енергийни общности се насърчава чрез:</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премахване на необосновани регулаторни и административни пречки;</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прилагане на изискванията на този закон при продажба на енергийни и други енергийни услуги;</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осигуряване на сътрудничество със съответния оператор на разпределителна мрежа и/или топлопреносно дружество за пренос на енергия в общността;</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прилагане от страна на компетентните органи на справедливи, пропорционални и прозрачни административни процедури, включително регистрация и лицензиране, които гарантират, че регулираните цени за мрежови услуги се прилагат за всички ползватели на мрежата, което следва да допринесе по адекватен, справедлив и балансиран начин за разпределението на общите разходи за системата в съответствие с прозрачен анализ на разходите и ползите от разпределените енергийни ресурси;</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прилагане на недискриминационно третиране на общностите във връзка с техните дейности, права и задължения като крайни ползватели, производители, доставчици или като други участници на пазара;</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достъпност за всички ползватели за участие в общности, включително домакинства в положение на енергийна бедност или уязвими клиенти;</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улесняване на достъпа до финансиране и информация;</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предоставяне на регулаторна подкрепа и помощ за изграждане на капацитета на публичните органи за улесняване и създаване на енергийни общности и за улесняване на тяхното пряко участие;</w:t>
      </w:r>
    </w:p>
    <w:p w:rsidR="007906A8" w:rsidRPr="00D13962" w:rsidRDefault="007906A8" w:rsidP="00DF14F0">
      <w:pPr>
        <w:numPr>
          <w:ilvl w:val="0"/>
          <w:numId w:val="21"/>
        </w:numPr>
        <w:rPr>
          <w:rFonts w:ascii="Times New Roman" w:hAnsi="Times New Roman" w:cs="Times New Roman"/>
          <w:sz w:val="18"/>
          <w:szCs w:val="18"/>
          <w:lang w:val="bg"/>
        </w:rPr>
      </w:pPr>
      <w:r w:rsidRPr="00D13962">
        <w:rPr>
          <w:rFonts w:ascii="Times New Roman" w:hAnsi="Times New Roman" w:cs="Times New Roman"/>
          <w:sz w:val="18"/>
          <w:szCs w:val="18"/>
          <w:lang w:val="bg"/>
        </w:rPr>
        <w:t>въвеждане на правила за гарантиране на равно и недискриминационно третиране на потребителите, участващи в гражданската енергийна общност.</w:t>
      </w:r>
    </w:p>
    <w:p w:rsidR="007906A8" w:rsidRPr="00D13962" w:rsidRDefault="007906A8" w:rsidP="00DF14F0">
      <w:pPr>
        <w:numPr>
          <w:ilvl w:val="0"/>
          <w:numId w:val="22"/>
        </w:numPr>
        <w:rPr>
          <w:rFonts w:ascii="Times New Roman" w:hAnsi="Times New Roman" w:cs="Times New Roman"/>
          <w:sz w:val="18"/>
          <w:szCs w:val="18"/>
          <w:lang w:val="bg"/>
        </w:rPr>
      </w:pPr>
      <w:r w:rsidRPr="00D13962">
        <w:rPr>
          <w:rFonts w:ascii="Times New Roman" w:hAnsi="Times New Roman" w:cs="Times New Roman"/>
          <w:sz w:val="18"/>
          <w:szCs w:val="18"/>
          <w:lang w:val="bg"/>
        </w:rPr>
        <w:t>достъпност за всички ползватели за участие в общности, включително домакинства с ниски доходи или уязвими клиенти;</w:t>
      </w:r>
    </w:p>
    <w:p w:rsidR="007906A8" w:rsidRPr="00D13962" w:rsidRDefault="007906A8" w:rsidP="00DF14F0">
      <w:pPr>
        <w:numPr>
          <w:ilvl w:val="0"/>
          <w:numId w:val="22"/>
        </w:numPr>
        <w:rPr>
          <w:rFonts w:ascii="Times New Roman" w:hAnsi="Times New Roman" w:cs="Times New Roman"/>
          <w:sz w:val="18"/>
          <w:szCs w:val="18"/>
          <w:lang w:val="bg"/>
        </w:rPr>
      </w:pPr>
      <w:r w:rsidRPr="00D13962">
        <w:rPr>
          <w:rFonts w:ascii="Times New Roman" w:hAnsi="Times New Roman" w:cs="Times New Roman"/>
          <w:sz w:val="18"/>
          <w:szCs w:val="18"/>
          <w:lang w:val="bg"/>
        </w:rPr>
        <w:t>улесняване на достъпа до финансиране и информация;</w:t>
      </w:r>
    </w:p>
    <w:p w:rsidR="007906A8" w:rsidRPr="00D13962" w:rsidRDefault="007906A8" w:rsidP="00DF14F0">
      <w:pPr>
        <w:numPr>
          <w:ilvl w:val="0"/>
          <w:numId w:val="22"/>
        </w:numPr>
        <w:rPr>
          <w:rFonts w:ascii="Times New Roman" w:hAnsi="Times New Roman" w:cs="Times New Roman"/>
          <w:sz w:val="18"/>
          <w:szCs w:val="18"/>
          <w:lang w:val="bg"/>
        </w:rPr>
      </w:pPr>
      <w:r w:rsidRPr="00D13962">
        <w:rPr>
          <w:rFonts w:ascii="Times New Roman" w:hAnsi="Times New Roman" w:cs="Times New Roman"/>
          <w:sz w:val="18"/>
          <w:szCs w:val="18"/>
          <w:lang w:val="bg"/>
        </w:rPr>
        <w:t>предоставяне на регулаторна подкрепа и помощ за изграждане на капацитета на публичните органи за улесняване и създаване на общности за енергия от възобновяеми източници и за улесняване на тяхното пряко участие;</w:t>
      </w:r>
    </w:p>
    <w:p w:rsidR="007906A8" w:rsidRPr="00D13962" w:rsidRDefault="007906A8" w:rsidP="00DF14F0">
      <w:pPr>
        <w:numPr>
          <w:ilvl w:val="0"/>
          <w:numId w:val="22"/>
        </w:numPr>
        <w:rPr>
          <w:rFonts w:ascii="Times New Roman" w:hAnsi="Times New Roman" w:cs="Times New Roman"/>
          <w:sz w:val="18"/>
          <w:szCs w:val="18"/>
          <w:lang w:val="bg"/>
        </w:rPr>
      </w:pPr>
      <w:r w:rsidRPr="00D13962">
        <w:rPr>
          <w:rFonts w:ascii="Times New Roman" w:hAnsi="Times New Roman" w:cs="Times New Roman"/>
          <w:sz w:val="18"/>
          <w:szCs w:val="18"/>
          <w:lang w:val="bg"/>
        </w:rPr>
        <w:t>въвеждане на правила за гарантиране на равно и недискриминационно третиране на потребителите, участващи в общността за енергия от възобновяеми източници.</w:t>
      </w:r>
    </w:p>
    <w:p w:rsidR="007906A8" w:rsidRPr="00D13962" w:rsidRDefault="007906A8" w:rsidP="00DF14F0">
      <w:pPr>
        <w:numPr>
          <w:ilvl w:val="0"/>
          <w:numId w:val="23"/>
        </w:numPr>
        <w:rPr>
          <w:rFonts w:ascii="Times New Roman" w:hAnsi="Times New Roman" w:cs="Times New Roman"/>
          <w:sz w:val="18"/>
          <w:szCs w:val="18"/>
          <w:lang w:val="bg"/>
        </w:rPr>
      </w:pPr>
      <w:r w:rsidRPr="00D13962">
        <w:rPr>
          <w:rFonts w:ascii="Times New Roman" w:hAnsi="Times New Roman" w:cs="Times New Roman"/>
          <w:sz w:val="18"/>
          <w:szCs w:val="18"/>
          <w:lang w:val="bg"/>
        </w:rPr>
        <w:t>) За да насърчи развитието на общностите за енергия от възобновяеми източници, изпълнителният директор на ASED изготвя оценка на съществуващите пречки и потенциала за развитие на общностите за енергия от възобновяеми източници.</w:t>
      </w:r>
    </w:p>
    <w:p w:rsidR="007906A8" w:rsidRPr="00D13962" w:rsidRDefault="007906A8" w:rsidP="00DF14F0">
      <w:pPr>
        <w:numPr>
          <w:ilvl w:val="0"/>
          <w:numId w:val="23"/>
        </w:numPr>
        <w:rPr>
          <w:rFonts w:ascii="Times New Roman" w:hAnsi="Times New Roman" w:cs="Times New Roman"/>
          <w:sz w:val="18"/>
          <w:szCs w:val="18"/>
          <w:lang w:val="bg"/>
        </w:rPr>
      </w:pPr>
      <w:r w:rsidRPr="00D13962">
        <w:rPr>
          <w:rFonts w:ascii="Times New Roman" w:hAnsi="Times New Roman" w:cs="Times New Roman"/>
          <w:sz w:val="18"/>
          <w:szCs w:val="18"/>
          <w:lang w:val="bg"/>
        </w:rPr>
        <w:t>) Информацията за стимулите по ал. 3 се представя с доклади за напредъка и актуализирането на Интегрирания план в областта на енергетиката и климата на Република България в съответствие с Регламент (ЕС) 2018/1999.</w:t>
      </w:r>
    </w:p>
    <w:p w:rsidR="007906A8" w:rsidRPr="00D13962" w:rsidRDefault="007906A8" w:rsidP="00DF14F0">
      <w:pPr>
        <w:numPr>
          <w:ilvl w:val="0"/>
          <w:numId w:val="23"/>
        </w:numPr>
        <w:rPr>
          <w:rFonts w:ascii="Times New Roman" w:hAnsi="Times New Roman" w:cs="Times New Roman"/>
          <w:sz w:val="18"/>
          <w:szCs w:val="18"/>
          <w:lang w:val="bg"/>
        </w:rPr>
      </w:pPr>
      <w:r w:rsidRPr="00D13962">
        <w:rPr>
          <w:rFonts w:ascii="Times New Roman" w:hAnsi="Times New Roman" w:cs="Times New Roman"/>
          <w:sz w:val="18"/>
          <w:szCs w:val="18"/>
          <w:lang w:val="bg"/>
        </w:rPr>
        <w:t>) За общностите за възобновяема енергия се прилагат изискванията на чл. 92б от Закона за енергетиката.</w:t>
      </w:r>
    </w:p>
    <w:p w:rsidR="007906A8" w:rsidRPr="00D13962" w:rsidRDefault="007906A8" w:rsidP="007906A8">
      <w:pPr>
        <w:rPr>
          <w:rFonts w:ascii="Times New Roman" w:hAnsi="Times New Roman" w:cs="Times New Roman"/>
          <w:sz w:val="18"/>
          <w:szCs w:val="18"/>
          <w:lang w:val="bg"/>
        </w:rPr>
      </w:pPr>
      <w:r w:rsidRPr="00D13962">
        <w:rPr>
          <w:rFonts w:ascii="Times New Roman" w:hAnsi="Times New Roman" w:cs="Times New Roman"/>
          <w:b/>
          <w:bCs/>
          <w:sz w:val="18"/>
          <w:szCs w:val="18"/>
          <w:lang w:val="bg"/>
        </w:rPr>
        <w:t>Допълнителни разпоредби</w:t>
      </w:r>
    </w:p>
    <w:p w:rsidR="007906A8" w:rsidRPr="00D13962" w:rsidRDefault="007906A8" w:rsidP="00DF14F0">
      <w:pPr>
        <w:numPr>
          <w:ilvl w:val="0"/>
          <w:numId w:val="24"/>
        </w:numPr>
        <w:rPr>
          <w:rFonts w:ascii="Times New Roman" w:hAnsi="Times New Roman" w:cs="Times New Roman"/>
          <w:sz w:val="18"/>
          <w:szCs w:val="18"/>
          <w:lang w:val="bg"/>
        </w:rPr>
      </w:pPr>
      <w:r w:rsidRPr="00D13962">
        <w:rPr>
          <w:rFonts w:ascii="Times New Roman" w:hAnsi="Times New Roman" w:cs="Times New Roman"/>
          <w:sz w:val="18"/>
          <w:szCs w:val="18"/>
          <w:lang w:val="bg"/>
        </w:rPr>
        <w:t>(Нова - ДВ, бр. 86 от 2023 г., в сила от 13.10.2023 г.) "Общност за възобновяема енергия" е юридическо лице без ограничение на правно-организационната форма, което:</w:t>
      </w:r>
    </w:p>
    <w:p w:rsidR="007906A8" w:rsidRPr="00D13962" w:rsidRDefault="007906A8" w:rsidP="00DF14F0">
      <w:pPr>
        <w:numPr>
          <w:ilvl w:val="0"/>
          <w:numId w:val="25"/>
        </w:numPr>
        <w:rPr>
          <w:rFonts w:ascii="Times New Roman" w:hAnsi="Times New Roman" w:cs="Times New Roman"/>
          <w:sz w:val="18"/>
          <w:szCs w:val="18"/>
          <w:lang w:val="bg"/>
        </w:rPr>
      </w:pPr>
      <w:r w:rsidRPr="00D13962">
        <w:rPr>
          <w:rFonts w:ascii="Times New Roman" w:hAnsi="Times New Roman" w:cs="Times New Roman"/>
          <w:sz w:val="18"/>
          <w:szCs w:val="18"/>
          <w:lang w:val="bg"/>
        </w:rPr>
        <w:t>се основава на открито и доброволно участие, независимо е и се контролира ефективно от своите акционери, партньори или членове;</w:t>
      </w:r>
    </w:p>
    <w:p w:rsidR="007906A8" w:rsidRPr="00B058AD" w:rsidRDefault="007906A8" w:rsidP="00DF14F0">
      <w:pPr>
        <w:numPr>
          <w:ilvl w:val="0"/>
          <w:numId w:val="25"/>
        </w:numPr>
        <w:rPr>
          <w:rFonts w:ascii="Times New Roman" w:hAnsi="Times New Roman" w:cs="Times New Roman"/>
          <w:sz w:val="24"/>
          <w:szCs w:val="24"/>
          <w:lang w:val="bg"/>
        </w:rPr>
      </w:pPr>
      <w:r w:rsidRPr="00D13962">
        <w:rPr>
          <w:rFonts w:ascii="Times New Roman" w:hAnsi="Times New Roman" w:cs="Times New Roman"/>
          <w:sz w:val="18"/>
          <w:szCs w:val="18"/>
          <w:lang w:val="bg"/>
        </w:rPr>
        <w:t>притежава и управлява инсталации/инсталации за производство на енергия от възобновяеми източници, разположени в урбанизирана зона, и съоръжения, в които неговите акционери, партньори или членове потребяват произведената енергия</w:t>
      </w:r>
      <w:r w:rsidRPr="00B058AD">
        <w:rPr>
          <w:rFonts w:ascii="Times New Roman" w:hAnsi="Times New Roman" w:cs="Times New Roman"/>
          <w:sz w:val="24"/>
          <w:szCs w:val="24"/>
          <w:lang w:val="bg"/>
        </w:rPr>
        <w:t>;</w:t>
      </w:r>
    </w:p>
    <w:p w:rsidR="007906A8" w:rsidRPr="00D13962" w:rsidRDefault="007906A8" w:rsidP="00DF14F0">
      <w:pPr>
        <w:numPr>
          <w:ilvl w:val="0"/>
          <w:numId w:val="25"/>
        </w:numPr>
        <w:rPr>
          <w:rFonts w:ascii="Times New Roman" w:hAnsi="Times New Roman" w:cs="Times New Roman"/>
          <w:sz w:val="18"/>
          <w:szCs w:val="18"/>
          <w:lang w:val="bg"/>
        </w:rPr>
      </w:pPr>
      <w:r w:rsidRPr="00D13962">
        <w:rPr>
          <w:rFonts w:ascii="Times New Roman" w:hAnsi="Times New Roman" w:cs="Times New Roman"/>
          <w:sz w:val="18"/>
          <w:szCs w:val="18"/>
          <w:lang w:val="bg"/>
        </w:rPr>
        <w:t>се състои от акционери, съдружници или членове, които са физически лица, малки и средни предприятия или общини;</w:t>
      </w:r>
    </w:p>
    <w:p w:rsidR="007906A8" w:rsidRPr="00D13962" w:rsidRDefault="007906A8" w:rsidP="00DF14F0">
      <w:pPr>
        <w:numPr>
          <w:ilvl w:val="0"/>
          <w:numId w:val="25"/>
        </w:numPr>
        <w:rPr>
          <w:rFonts w:ascii="Times New Roman" w:hAnsi="Times New Roman" w:cs="Times New Roman"/>
          <w:sz w:val="18"/>
          <w:szCs w:val="18"/>
          <w:lang w:val="bg"/>
        </w:rPr>
        <w:sectPr w:rsidR="007906A8" w:rsidRPr="00D13962" w:rsidSect="006971CE">
          <w:pgSz w:w="12211" w:h="17419"/>
          <w:pgMar w:top="1417" w:right="1417" w:bottom="1417" w:left="1417" w:header="1302" w:footer="3" w:gutter="0"/>
          <w:cols w:num="2" w:sep="1" w:space="166"/>
          <w:noEndnote/>
          <w:docGrid w:linePitch="360"/>
        </w:sectPr>
      </w:pPr>
      <w:r w:rsidRPr="00D13962">
        <w:rPr>
          <w:rFonts w:ascii="Times New Roman" w:hAnsi="Times New Roman" w:cs="Times New Roman"/>
          <w:sz w:val="18"/>
          <w:szCs w:val="18"/>
          <w:lang w:val="bg"/>
        </w:rPr>
        <w:lastRenderedPageBreak/>
        <w:t>има за основна цел да предоставя на своите акционери, съдружници или членове или на областите, в които извършва дейност, не толкова финансови, колкото екологични, икономически или социални ползи;</w:t>
      </w:r>
    </w:p>
    <w:p w:rsidR="007906A8" w:rsidRPr="00B058AD" w:rsidRDefault="007906A8" w:rsidP="00B058AD">
      <w:pPr>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lastRenderedPageBreak/>
        <w:t>Допълнителни разпоредби</w:t>
      </w:r>
    </w:p>
    <w:p w:rsidR="007906A8" w:rsidRPr="00B058AD" w:rsidRDefault="007906A8" w:rsidP="00DF14F0">
      <w:pPr>
        <w:numPr>
          <w:ilvl w:val="0"/>
          <w:numId w:val="26"/>
        </w:num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(Нова - ДВ, бр. 86 от 2023 г., в сила от 13.10.2023 г.) "Гражданска енергийна общност" е юридическо лице:</w:t>
      </w:r>
    </w:p>
    <w:p w:rsidR="007906A8" w:rsidRPr="00B058AD" w:rsidRDefault="007906A8" w:rsidP="00DF14F0">
      <w:pPr>
        <w:numPr>
          <w:ilvl w:val="0"/>
          <w:numId w:val="27"/>
        </w:num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въз основа на доброволно и открито участие, ефективно контролирано от членове, партньори или акционери, които са физически лица, общини или малки предприятия;</w:t>
      </w:r>
    </w:p>
    <w:p w:rsidR="007906A8" w:rsidRPr="00B058AD" w:rsidRDefault="007906A8" w:rsidP="00DF14F0">
      <w:pPr>
        <w:numPr>
          <w:ilvl w:val="0"/>
          <w:numId w:val="27"/>
        </w:num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което има за основна цел предоставянето на екологични, икономически или социални ползи на своите членове или акционери или на местните райони, в които извършва дейност, а не финансова печалба, и</w:t>
      </w:r>
    </w:p>
    <w:p w:rsidR="007906A8" w:rsidRPr="00B058AD" w:rsidRDefault="007906A8" w:rsidP="00DF14F0">
      <w:pPr>
        <w:numPr>
          <w:ilvl w:val="0"/>
          <w:numId w:val="27"/>
        </w:num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които могат да извършват производство, включително на енергия от възобновяеми източници, разпределение, доставка, потребление, агрегиране, акумулиране на електрическа енергия, услуги за подобряване на енергийната ефективност или услуги за зареждане на електрически превозни средства, или да предоставят други енергийни услуги на своите членове или акционери.</w:t>
      </w:r>
    </w:p>
    <w:p w:rsidR="007906A8" w:rsidRPr="007906A8" w:rsidRDefault="007906A8" w:rsidP="007906A8">
      <w:pPr>
        <w:rPr>
          <w:lang w:val="bg"/>
        </w:rPr>
      </w:pPr>
      <w:r w:rsidRPr="007906A8">
        <w:rPr>
          <w:noProof/>
          <w:lang w:val="bg-BG" w:eastAsia="bg-BG"/>
        </w:rPr>
        <w:drawing>
          <wp:inline distT="0" distB="0" distL="0" distR="0" wp14:anchorId="096B60FF" wp14:editId="7774D25A">
            <wp:extent cx="5555615" cy="3762375"/>
            <wp:effectExtent l="0" t="0" r="6985" b="9525"/>
            <wp:docPr id="161" name="Пикутър 161"/>
            <wp:cNvGraphicFramePr/>
            <a:graphic xmlns:a="http://schemas.openxmlformats.org/drawingml/2006/main">
              <a:graphicData uri="http://schemas.openxmlformats.org/drawingml/2006/picture">
                <pic:pic xmlns:pic="http://schemas.openxmlformats.org/drawingml/2006/picture">
                  <pic:nvPicPr>
                    <pic:cNvPr id="161" name="Снимка 161"/>
                    <pic:cNvPicPr/>
                  </pic:nvPicPr>
                  <pic:blipFill>
                    <a:blip r:embed="rId32"/>
                    <a:stretch/>
                  </pic:blipFill>
                  <pic:spPr>
                    <a:xfrm>
                      <a:off x="0" y="0"/>
                      <a:ext cx="5555615" cy="3762375"/>
                    </a:xfrm>
                    <a:prstGeom prst="rect">
                      <a:avLst/>
                    </a:prstGeom>
                  </pic:spPr>
                </pic:pic>
              </a:graphicData>
            </a:graphic>
          </wp:inline>
        </w:drawing>
      </w:r>
    </w:p>
    <w:p w:rsidR="007906A8" w:rsidRPr="007906A8" w:rsidRDefault="004218D1" w:rsidP="007906A8">
      <w:pPr>
        <w:rPr>
          <w:lang w:val="bg"/>
        </w:rPr>
        <w:sectPr w:rsidR="007906A8" w:rsidRPr="007906A8" w:rsidSect="006971CE">
          <w:footerReference w:type="even" r:id="rId33"/>
          <w:footerReference w:type="default" r:id="rId34"/>
          <w:pgSz w:w="12211" w:h="17419"/>
          <w:pgMar w:top="1417" w:right="1417" w:bottom="1417" w:left="1417" w:header="1442" w:footer="3" w:gutter="0"/>
          <w:pgNumType w:start="68"/>
          <w:cols w:space="720"/>
          <w:noEndnote/>
          <w:docGrid w:linePitch="360"/>
        </w:sectPr>
      </w:pPr>
      <w:r w:rsidRPr="007906A8">
        <w:rPr>
          <w:noProof/>
          <w:lang w:val="bg-BG" w:eastAsia="bg-BG"/>
        </w:rPr>
        <mc:AlternateContent>
          <mc:Choice Requires="wps">
            <w:drawing>
              <wp:anchor distT="0" distB="0" distL="0" distR="4757420" simplePos="0" relativeHeight="251676672" behindDoc="0" locked="0" layoutInCell="1" allowOverlap="1" wp14:anchorId="399DDB01" wp14:editId="77E77679">
                <wp:simplePos x="0" y="0"/>
                <wp:positionH relativeFrom="column">
                  <wp:posOffset>372110</wp:posOffset>
                </wp:positionH>
                <wp:positionV relativeFrom="paragraph">
                  <wp:posOffset>1974850</wp:posOffset>
                </wp:positionV>
                <wp:extent cx="1908175" cy="280670"/>
                <wp:effectExtent l="0" t="0" r="0" b="0"/>
                <wp:wrapTopAndBottom/>
                <wp:docPr id="166" name="Форма 166"/>
                <wp:cNvGraphicFramePr/>
                <a:graphic xmlns:a="http://schemas.openxmlformats.org/drawingml/2006/main">
                  <a:graphicData uri="http://schemas.microsoft.com/office/word/2010/wordprocessingShape">
                    <wps:wsp>
                      <wps:cNvSpPr txBox="1"/>
                      <wps:spPr>
                        <a:xfrm>
                          <a:off x="0" y="0"/>
                          <a:ext cx="1908175" cy="280670"/>
                        </a:xfrm>
                        <a:prstGeom prst="rect">
                          <a:avLst/>
                        </a:prstGeom>
                        <a:noFill/>
                      </wps:spPr>
                      <wps:txbx>
                        <w:txbxContent>
                          <w:p w:rsidR="001A38FE" w:rsidRDefault="001A38FE" w:rsidP="007906A8">
                            <w:pPr>
                              <w:pStyle w:val="Picturecaption10"/>
                              <w:spacing w:line="324" w:lineRule="auto"/>
                              <w:rPr>
                                <w:sz w:val="13"/>
                                <w:szCs w:val="13"/>
                              </w:rPr>
                            </w:pPr>
                            <w:r>
                              <w:rPr>
                                <w:rStyle w:val="Picturecaption1"/>
                                <w:rFonts w:ascii="Arial" w:eastAsia="Arial" w:hAnsi="Arial" w:cs="Arial"/>
                                <w:color w:val="1F5D81"/>
                                <w:sz w:val="13"/>
                                <w:szCs w:val="13"/>
                              </w:rPr>
                              <w:t>Statnett е системният оператор на норвежката енергийна система.</w:t>
                            </w:r>
                          </w:p>
                        </w:txbxContent>
                      </wps:txbx>
                      <wps:bodyPr lIns="0" tIns="0" rIns="0" bIns="0"/>
                    </wps:wsp>
                  </a:graphicData>
                </a:graphic>
              </wp:anchor>
            </w:drawing>
          </mc:Choice>
          <mc:Fallback>
            <w:pict>
              <v:shapetype w14:anchorId="399DDB01" id="_x0000_t202" coordsize="21600,21600" o:spt="202" path="m,l,21600r21600,l21600,xe">
                <v:stroke joinstyle="miter"/>
                <v:path gradientshapeok="t" o:connecttype="rect"/>
              </v:shapetype>
              <v:shape id="Форма 166" o:spid="_x0000_s1026" type="#_x0000_t202" style="position:absolute;margin-left:29.3pt;margin-top:155.5pt;width:150.25pt;height:22.1pt;z-index:251676672;visibility:visible;mso-wrap-style:square;mso-wrap-distance-left:0;mso-wrap-distance-top:0;mso-wrap-distance-right:374.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" filled="f" stroked="f">
                <v:textbox inset="0,0,0,0">
                  <w:txbxContent>
                    <w:p w:rsidR="001A38FE" w:rsidRDefault="001A38FE" w:rsidP="007906A8">
                      <w:pPr>
                        <w:pStyle w:val="Picturecaption10"/>
                        <w:spacing w:line="324" w:lineRule="auto"/>
                        <w:rPr>
                          <w:sz w:val="13"/>
                          <w:szCs w:val="13"/>
                        </w:rPr>
                      </w:pPr>
                      <w:r>
                        <w:rPr>
                          <w:rStyle w:val="Picturecaption1"/>
                          <w:rFonts w:ascii="Arial" w:eastAsia="Arial" w:hAnsi="Arial" w:cs="Arial"/>
                          <w:color w:val="1F5D81"/>
                          <w:sz w:val="13"/>
                          <w:szCs w:val="13"/>
                        </w:rPr>
                        <w:t>Statnett е системният оператор на норвежката енергийна система.</w:t>
                      </w:r>
                    </w:p>
                  </w:txbxContent>
                </v:textbox>
                <w10:wrap type="topAndBottom"/>
              </v:shape>
            </w:pict>
          </mc:Fallback>
        </mc:AlternateContent>
      </w:r>
      <w:r w:rsidRPr="007906A8">
        <w:rPr>
          <w:noProof/>
          <w:lang w:val="bg-BG" w:eastAsia="bg-BG"/>
        </w:rPr>
        <mc:AlternateContent>
          <mc:Choice Requires="wps">
            <w:drawing>
              <wp:anchor distT="0" distB="0" distL="0" distR="4681220" simplePos="0" relativeHeight="251677696" behindDoc="0" locked="0" layoutInCell="1" allowOverlap="1" wp14:anchorId="616D869C" wp14:editId="41D1F39A">
                <wp:simplePos x="0" y="0"/>
                <wp:positionH relativeFrom="margin">
                  <wp:align>left</wp:align>
                </wp:positionH>
                <wp:positionV relativeFrom="paragraph">
                  <wp:posOffset>1390015</wp:posOffset>
                </wp:positionV>
                <wp:extent cx="1984375" cy="514985"/>
                <wp:effectExtent l="0" t="0" r="0" b="0"/>
                <wp:wrapTopAndBottom/>
                <wp:docPr id="168" name="Форма 168"/>
                <wp:cNvGraphicFramePr/>
                <a:graphic xmlns:a="http://schemas.openxmlformats.org/drawingml/2006/main">
                  <a:graphicData uri="http://schemas.microsoft.com/office/word/2010/wordprocessingShape">
                    <wps:wsp>
                      <wps:cNvSpPr txBox="1"/>
                      <wps:spPr>
                        <a:xfrm>
                          <a:off x="0" y="0"/>
                          <a:ext cx="1984375" cy="514985"/>
                        </a:xfrm>
                        <a:prstGeom prst="rect">
                          <a:avLst/>
                        </a:prstGeom>
                        <a:noFill/>
                      </wps:spPr>
                      <wps:txbx>
                        <w:txbxContent>
                          <w:p w:rsidR="001A38FE" w:rsidRDefault="001A38FE" w:rsidP="007906A8">
                            <w:pPr>
                              <w:pStyle w:val="Picturecaption10"/>
                              <w:spacing w:line="298" w:lineRule="auto"/>
                              <w:rPr>
                                <w:sz w:val="13"/>
                                <w:szCs w:val="13"/>
                              </w:rPr>
                            </w:pPr>
                            <w:r>
                              <w:rPr>
                                <w:rStyle w:val="Picturecaption1"/>
                                <w:rFonts w:ascii="Arial" w:eastAsia="Arial" w:hAnsi="Arial" w:cs="Arial"/>
                                <w:color w:val="1F5D81"/>
                                <w:sz w:val="13"/>
                                <w:szCs w:val="13"/>
                              </w:rPr>
                              <w:t>Statnett експлоатира приблизително 11 400 km електрическа мрежа с високо напрежение и 2300 km кабели с високо напрежение (подводни и наземни). Освен това Statnett експлоатира 236 подстанции.</w:t>
                            </w:r>
                          </w:p>
                        </w:txbxContent>
                      </wps:txbx>
                      <wps:bodyPr lIns="0" tIns="0" rIns="0" bIns="0"/>
                    </wps:wsp>
                  </a:graphicData>
                </a:graphic>
              </wp:anchor>
            </w:drawing>
          </mc:Choice>
          <mc:Fallback>
            <w:pict>
              <v:shape w14:anchorId="616D869C" id="Форма 168" o:spid="_x0000_s1027" type="#_x0000_t202" style="position:absolute;margin-left:0;margin-top:109.45pt;width:156.25pt;height:40.55pt;z-index:251677696;visibility:visible;mso-wrap-style:square;mso-wrap-distance-left:0;mso-wrap-distance-top:0;mso-wrap-distance-right:368.6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" filled="f" stroked="f">
                <v:textbox inset="0,0,0,0">
                  <w:txbxContent>
                    <w:p w:rsidR="001A38FE" w:rsidRDefault="001A38FE" w:rsidP="007906A8">
                      <w:pPr>
                        <w:pStyle w:val="Picturecaption10"/>
                        <w:spacing w:line="298" w:lineRule="auto"/>
                        <w:rPr>
                          <w:sz w:val="13"/>
                          <w:szCs w:val="13"/>
                        </w:rPr>
                      </w:pPr>
                      <w:r>
                        <w:rPr>
                          <w:rStyle w:val="Picturecaption1"/>
                          <w:rFonts w:ascii="Arial" w:eastAsia="Arial" w:hAnsi="Arial" w:cs="Arial"/>
                          <w:color w:val="1F5D81"/>
                          <w:sz w:val="13"/>
                          <w:szCs w:val="13"/>
                        </w:rPr>
                        <w:t>Statnett експлоатира приблизително 11 400 km електрическа мрежа с високо напрежение и 2300 km кабели с високо напрежение (подводни и наземни). Освен това Statnett експлоатира 236 подстанции.</w:t>
                      </w:r>
                    </w:p>
                  </w:txbxContent>
                </v:textbox>
                <w10:wrap type="topAndBottom" anchorx="margin"/>
              </v:shape>
            </w:pict>
          </mc:Fallback>
        </mc:AlternateContent>
      </w:r>
      <w:r w:rsidRPr="007906A8">
        <w:rPr>
          <w:noProof/>
          <w:lang w:val="bg-BG" w:eastAsia="bg-BG"/>
        </w:rPr>
        <mc:AlternateContent>
          <mc:Choice Requires="wps">
            <w:drawing>
              <wp:anchor distT="0" distB="0" distL="0" distR="6113780" simplePos="0" relativeHeight="251674624" behindDoc="0" locked="0" layoutInCell="1" allowOverlap="1" wp14:anchorId="2E7B281F" wp14:editId="45BF0A8C">
                <wp:simplePos x="0" y="0"/>
                <wp:positionH relativeFrom="leftMargin">
                  <wp:align>right</wp:align>
                </wp:positionH>
                <wp:positionV relativeFrom="paragraph">
                  <wp:posOffset>1275080</wp:posOffset>
                </wp:positionV>
                <wp:extent cx="551815" cy="113030"/>
                <wp:effectExtent l="0" t="0" r="0" b="0"/>
                <wp:wrapTopAndBottom/>
                <wp:docPr id="162" name="Форма 162"/>
                <wp:cNvGraphicFramePr/>
                <a:graphic xmlns:a="http://schemas.openxmlformats.org/drawingml/2006/main">
                  <a:graphicData uri="http://schemas.microsoft.com/office/word/2010/wordprocessingShape">
                    <wps:wsp>
                      <wps:cNvSpPr txBox="1"/>
                      <wps:spPr>
                        <a:xfrm>
                          <a:off x="0" y="0"/>
                          <a:ext cx="551815" cy="113030"/>
                        </a:xfrm>
                        <a:prstGeom prst="rect">
                          <a:avLst/>
                        </a:prstGeom>
                        <a:noFill/>
                      </wps:spPr>
                      <wps:txbx>
                        <w:txbxContent>
                          <w:p w:rsidR="001A38FE" w:rsidRDefault="001A38FE" w:rsidP="007906A8">
                            <w:pPr>
                              <w:pStyle w:val="Picturecaption10"/>
                              <w:rPr>
                                <w:sz w:val="13"/>
                                <w:szCs w:val="13"/>
                              </w:rPr>
                            </w:pPr>
                            <w:r>
                              <w:rPr>
                                <w:rStyle w:val="Picturecaption1"/>
                                <w:rFonts w:ascii="Arial" w:eastAsia="Arial" w:hAnsi="Arial" w:cs="Arial"/>
                                <w:color w:val="1F5D81"/>
                                <w:sz w:val="13"/>
                                <w:szCs w:val="13"/>
                              </w:rPr>
                              <w:t>За Статнет</w:t>
                            </w:r>
                          </w:p>
                        </w:txbxContent>
                      </wps:txbx>
                      <wps:bodyPr lIns="0" tIns="0" rIns="0" bIns="0"/>
                    </wps:wsp>
                  </a:graphicData>
                </a:graphic>
              </wp:anchor>
            </w:drawing>
          </mc:Choice>
          <mc:Fallback>
            <w:pict>
              <v:shape w14:anchorId="2E7B281F" id="Форма 162" o:spid="_x0000_s1028" type="#_x0000_t202" style="position:absolute;margin-left:-7.75pt;margin-top:100.4pt;width:43.45pt;height:8.9pt;z-index:251674624;visibility:visible;mso-wrap-style:square;mso-wrap-distance-left:0;mso-wrap-distance-top:0;mso-wrap-distance-right:481.4pt;mso-wrap-distance-bottom:0;mso-position-horizontal:righ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" filled="f" stroked="f">
                <v:textbox inset="0,0,0,0">
                  <w:txbxContent>
                    <w:p w:rsidR="001A38FE" w:rsidRDefault="001A38FE" w:rsidP="007906A8">
                      <w:pPr>
                        <w:pStyle w:val="Picturecaption10"/>
                        <w:rPr>
                          <w:sz w:val="13"/>
                          <w:szCs w:val="13"/>
                        </w:rPr>
                      </w:pPr>
                      <w:r>
                        <w:rPr>
                          <w:rStyle w:val="Picturecaption1"/>
                          <w:rFonts w:ascii="Arial" w:eastAsia="Arial" w:hAnsi="Arial" w:cs="Arial"/>
                          <w:color w:val="1F5D81"/>
                          <w:sz w:val="13"/>
                          <w:szCs w:val="13"/>
                        </w:rPr>
                        <w:t>За Статнет</w:t>
                      </w:r>
                    </w:p>
                  </w:txbxContent>
                </v:textbox>
                <w10:wrap type="topAndBottom" anchorx="margin"/>
              </v:shape>
            </w:pict>
          </mc:Fallback>
        </mc:AlternateContent>
      </w:r>
      <w:r w:rsidR="007906A8" w:rsidRPr="007906A8">
        <w:rPr>
          <w:noProof/>
          <w:lang w:val="bg-BG" w:eastAsia="bg-BG"/>
        </w:rPr>
        <mc:AlternateContent>
          <mc:Choice Requires="wps">
            <w:drawing>
              <wp:anchor distT="0" distB="0" distL="0" distR="5458460" simplePos="0" relativeHeight="251675648" behindDoc="0" locked="0" layoutInCell="1" allowOverlap="1" wp14:anchorId="4748403D" wp14:editId="39D53F20">
                <wp:simplePos x="0" y="0"/>
                <wp:positionH relativeFrom="column">
                  <wp:posOffset>-323215</wp:posOffset>
                </wp:positionH>
                <wp:positionV relativeFrom="paragraph">
                  <wp:posOffset>2447290</wp:posOffset>
                </wp:positionV>
                <wp:extent cx="1207135" cy="201295"/>
                <wp:effectExtent l="0" t="0" r="0" b="0"/>
                <wp:wrapTopAndBottom/>
                <wp:docPr id="164" name="Форма 164"/>
                <wp:cNvGraphicFramePr/>
                <a:graphic xmlns:a="http://schemas.openxmlformats.org/drawingml/2006/main">
                  <a:graphicData uri="http://schemas.microsoft.com/office/word/2010/wordprocessingShape">
                    <wps:wsp>
                      <wps:cNvSpPr txBox="1"/>
                      <wps:spPr>
                        <a:xfrm>
                          <a:off x="0" y="0"/>
                          <a:ext cx="1207135" cy="201295"/>
                        </a:xfrm>
                        <a:prstGeom prst="rect">
                          <a:avLst/>
                        </a:prstGeom>
                        <a:noFill/>
                      </wps:spPr>
                      <wps:txbx>
                        <w:txbxContent>
                          <w:p w:rsidR="001A38FE" w:rsidRDefault="001A38FE" w:rsidP="007906A8">
                            <w:pPr>
                              <w:pStyle w:val="Picturecaption10"/>
                              <w:rPr>
                                <w:sz w:val="26"/>
                                <w:szCs w:val="26"/>
                              </w:rPr>
                            </w:pPr>
                            <w:r>
                              <w:rPr>
                                <w:rStyle w:val="Picturecaption1"/>
                                <w:rFonts w:ascii="Arial" w:eastAsia="Arial" w:hAnsi="Arial" w:cs="Arial"/>
                                <w:b/>
                                <w:bCs/>
                                <w:color w:val="02113E"/>
                                <w:sz w:val="26"/>
                                <w:szCs w:val="26"/>
                              </w:rPr>
                              <w:t>Това е Статнет.</w:t>
                            </w:r>
                          </w:p>
                        </w:txbxContent>
                      </wps:txbx>
                      <wps:bodyPr lIns="0" tIns="0" rIns="0" bIns="0"/>
                    </wps:wsp>
                  </a:graphicData>
                </a:graphic>
              </wp:anchor>
            </w:drawing>
          </mc:Choice>
          <mc:Fallback>
            <w:pict>
              <v:shape w14:anchorId="4748403D" id="Форма 164" o:spid="_x0000_s1029" type="#_x0000_t202" style="position:absolute;margin-left:-25.45pt;margin-top:192.7pt;width:95.05pt;height:15.85pt;z-index:251675648;visibility:visible;mso-wrap-style:square;mso-wrap-distance-left:0;mso-wrap-distance-top:0;mso-wrap-distance-right:429.8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" filled="f" stroked="f">
                <v:textbox inset="0,0,0,0">
                  <w:txbxContent>
                    <w:p w:rsidR="001A38FE" w:rsidRDefault="001A38FE" w:rsidP="007906A8">
                      <w:pPr>
                        <w:pStyle w:val="Picturecaption10"/>
                        <w:rPr>
                          <w:sz w:val="26"/>
                          <w:szCs w:val="26"/>
                        </w:rPr>
                      </w:pPr>
                      <w:r>
                        <w:rPr>
                          <w:rStyle w:val="Picturecaption1"/>
                          <w:rFonts w:ascii="Arial" w:eastAsia="Arial" w:hAnsi="Arial" w:cs="Arial"/>
                          <w:b/>
                          <w:bCs/>
                          <w:color w:val="02113E"/>
                          <w:sz w:val="26"/>
                          <w:szCs w:val="26"/>
                        </w:rPr>
                        <w:t>Това е Статнет.</w:t>
                      </w:r>
                    </w:p>
                  </w:txbxContent>
                </v:textbox>
                <w10:wrap type="topAndBottom"/>
              </v:shape>
            </w:pict>
          </mc:Fallback>
        </mc:AlternateContent>
      </w:r>
    </w:p>
    <w:p w:rsidR="007906A8" w:rsidRPr="00CE6D3C" w:rsidRDefault="00B058AD" w:rsidP="00CE6D3C">
      <w:pPr>
        <w:pStyle w:val="Heading2"/>
        <w:spacing w:line="276" w:lineRule="auto"/>
        <w:jc w:val="both"/>
        <w:rPr>
          <w:rFonts w:ascii="Times New Roman" w:hAnsi="Times New Roman" w:cs="Times New Roman"/>
          <w:color w:val="24B1C0"/>
          <w:sz w:val="30"/>
          <w:szCs w:val="30"/>
          <w:lang w:val="bg"/>
        </w:rPr>
      </w:pPr>
      <w:bookmarkStart w:id="194" w:name="bookmark339"/>
      <w:bookmarkStart w:id="195" w:name="bookmark338"/>
      <w:bookmarkStart w:id="196" w:name="_Toc203141294"/>
      <w:r w:rsidRPr="00CE6D3C">
        <w:rPr>
          <w:rFonts w:ascii="Times New Roman" w:hAnsi="Times New Roman" w:cs="Times New Roman"/>
          <w:color w:val="24B1C0"/>
          <w:sz w:val="30"/>
          <w:szCs w:val="30"/>
        </w:rPr>
        <w:lastRenderedPageBreak/>
        <w:t xml:space="preserve">5.1 </w:t>
      </w:r>
      <w:r w:rsidR="007906A8" w:rsidRPr="00CE6D3C">
        <w:rPr>
          <w:rFonts w:ascii="Times New Roman" w:hAnsi="Times New Roman" w:cs="Times New Roman"/>
          <w:color w:val="24B1C0"/>
          <w:sz w:val="30"/>
          <w:szCs w:val="30"/>
          <w:lang w:val="bg"/>
        </w:rPr>
        <w:t xml:space="preserve">Пътна карта за създаване на регистър на енергийната общност </w:t>
      </w:r>
      <w:bookmarkEnd w:id="194"/>
      <w:bookmarkEnd w:id="195"/>
      <w:r w:rsidRPr="00CE6D3C">
        <w:rPr>
          <w:rFonts w:ascii="Times New Roman" w:hAnsi="Times New Roman" w:cs="Times New Roman"/>
          <w:color w:val="24B1C0"/>
          <w:sz w:val="30"/>
          <w:szCs w:val="30"/>
          <w:lang w:val="bg"/>
        </w:rPr>
        <w:t xml:space="preserve">в </w:t>
      </w:r>
      <w:r w:rsidR="007906A8" w:rsidRPr="00CE6D3C">
        <w:rPr>
          <w:rFonts w:ascii="Times New Roman" w:hAnsi="Times New Roman" w:cs="Times New Roman"/>
          <w:color w:val="24B1C0"/>
          <w:sz w:val="30"/>
          <w:szCs w:val="30"/>
          <w:lang w:val="bg"/>
        </w:rPr>
        <w:t>България, включително ключови съображения и стъпки за действие.</w:t>
      </w:r>
      <w:bookmarkEnd w:id="196"/>
    </w:p>
    <w:p w:rsidR="00CE6D3C" w:rsidRPr="00CE6D3C" w:rsidRDefault="00CE6D3C" w:rsidP="00CE6D3C">
      <w:pPr>
        <w:rPr>
          <w:lang w:val="bg"/>
        </w:rPr>
      </w:pPr>
    </w:p>
    <w:p w:rsidR="00CE6D3C" w:rsidRPr="00B058AD" w:rsidRDefault="007906A8" w:rsidP="00B058AD">
      <w:p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Съгласно пътната карта от хранилището на енергийните общности</w:t>
      </w:r>
      <w:hyperlink w:anchor="bookmark53" w:tooltip="Current Document">
        <w:r w:rsidRPr="00F015E5">
          <w:rPr>
            <w:rStyle w:val="Hyperlink"/>
            <w:rFonts w:ascii="Times New Roman" w:hAnsi="Times New Roman" w:cs="Times New Roman"/>
            <w:sz w:val="24"/>
            <w:szCs w:val="24"/>
            <w:vertAlign w:val="superscript"/>
            <w:lang w:val="bg"/>
          </w:rPr>
          <w:footnoteReference w:id="47"/>
        </w:r>
      </w:hyperlink>
      <w:r w:rsidRPr="00B058AD">
        <w:rPr>
          <w:rFonts w:ascii="Times New Roman" w:hAnsi="Times New Roman" w:cs="Times New Roman"/>
          <w:sz w:val="24"/>
          <w:szCs w:val="24"/>
          <w:lang w:val="bg"/>
        </w:rPr>
        <w:t xml:space="preserve"> „Регистрирането като енергийна общност с публичен орган за валидиране на статута на инициатива като REC или CEC включва процедура за представяне на изискваната идентифицираща информация, както и учредителни документи (устав, устав и др.), както се изисква от националното законодателство. Ако е проектирана с дългосрочна перспектива, системата за регистрация също така осигурява основа за регистриране и проследяване на информация от общностите на </w:t>
      </w:r>
      <w:r w:rsidR="00B058AD" w:rsidRPr="00B058AD">
        <w:rPr>
          <w:rFonts w:ascii="Times New Roman" w:hAnsi="Times New Roman" w:cs="Times New Roman"/>
          <w:sz w:val="24"/>
          <w:szCs w:val="24"/>
          <w:lang w:val="bg"/>
        </w:rPr>
        <w:t>регистрираните</w:t>
      </w:r>
      <w:r w:rsidRPr="00B058AD">
        <w:rPr>
          <w:rFonts w:ascii="Times New Roman" w:hAnsi="Times New Roman" w:cs="Times New Roman"/>
          <w:sz w:val="24"/>
          <w:szCs w:val="24"/>
          <w:lang w:val="bg"/>
        </w:rPr>
        <w:t xml:space="preserve"> във времето“.</w:t>
      </w:r>
    </w:p>
    <w:p w:rsidR="007906A8" w:rsidRDefault="00B058AD" w:rsidP="00B058AD">
      <w:pPr>
        <w:pStyle w:val="Heading3"/>
        <w:rPr>
          <w:rFonts w:ascii="Times New Roman" w:hAnsi="Times New Roman" w:cs="Times New Roman"/>
          <w:color w:val="24B1C0"/>
          <w:sz w:val="28"/>
          <w:szCs w:val="28"/>
          <w:lang w:val="bg"/>
        </w:rPr>
      </w:pPr>
      <w:bookmarkStart w:id="198" w:name="bookmark343"/>
      <w:bookmarkStart w:id="199" w:name="bookmark342"/>
      <w:bookmarkStart w:id="200" w:name="_Toc203141295"/>
      <w:r w:rsidRPr="00B058AD">
        <w:rPr>
          <w:rFonts w:ascii="Times New Roman" w:hAnsi="Times New Roman" w:cs="Times New Roman"/>
          <w:color w:val="24B1C0"/>
          <w:sz w:val="28"/>
          <w:szCs w:val="28"/>
          <w:lang w:val="bg"/>
        </w:rPr>
        <w:t xml:space="preserve">5.1.1 </w:t>
      </w:r>
      <w:r w:rsidR="007906A8" w:rsidRPr="00B058AD">
        <w:rPr>
          <w:rFonts w:ascii="Times New Roman" w:hAnsi="Times New Roman" w:cs="Times New Roman"/>
          <w:color w:val="24B1C0"/>
          <w:sz w:val="28"/>
          <w:szCs w:val="28"/>
          <w:lang w:val="bg"/>
        </w:rPr>
        <w:t>Основни съображения за създаване на регистър на енергийните общности</w:t>
      </w:r>
      <w:bookmarkEnd w:id="198"/>
      <w:bookmarkEnd w:id="199"/>
      <w:bookmarkEnd w:id="200"/>
    </w:p>
    <w:p w:rsidR="00CE6D3C" w:rsidRPr="00CE6D3C" w:rsidRDefault="00CE6D3C" w:rsidP="00CE6D3C">
      <w:pPr>
        <w:rPr>
          <w:lang w:val="bg"/>
        </w:rPr>
      </w:pPr>
    </w:p>
    <w:p w:rsidR="007906A8" w:rsidRPr="00B058AD" w:rsidRDefault="007906A8" w:rsidP="007906A8">
      <w:pPr>
        <w:rPr>
          <w:rFonts w:ascii="Times New Roman" w:hAnsi="Times New Roman" w:cs="Times New Roman"/>
          <w:sz w:val="24"/>
          <w:szCs w:val="24"/>
          <w:lang w:val="bg"/>
        </w:rPr>
      </w:pPr>
      <w:r w:rsidRPr="00B058AD">
        <w:rPr>
          <w:rFonts w:ascii="Times New Roman" w:hAnsi="Times New Roman" w:cs="Times New Roman"/>
          <w:sz w:val="24"/>
          <w:szCs w:val="24"/>
          <w:lang w:val="bg"/>
        </w:rPr>
        <w:t>Основните причини за създаването на общ регистър на енергийните общности са следните:</w:t>
      </w:r>
    </w:p>
    <w:p w:rsidR="007906A8" w:rsidRPr="00B058AD" w:rsidRDefault="007906A8" w:rsidP="00B01311">
      <w:pPr>
        <w:pStyle w:val="ListParagraph"/>
        <w:numPr>
          <w:ilvl w:val="0"/>
          <w:numId w:val="96"/>
        </w:numPr>
        <w:spacing w:line="276" w:lineRule="auto"/>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Подкрепа за устойчивото развитие на енергийните общности:</w:t>
      </w:r>
    </w:p>
    <w:p w:rsidR="00B058AD" w:rsidRDefault="007906A8" w:rsidP="00B058AD">
      <w:p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Регистърът служи като официално признание и подкрепа за енергийните общности, които играят важна роля в прехода към устойчиви енергийни източници.</w:t>
      </w:r>
    </w:p>
    <w:p w:rsidR="007906A8" w:rsidRPr="00B058AD" w:rsidRDefault="007906A8" w:rsidP="00B01311">
      <w:pPr>
        <w:pStyle w:val="ListParagraph"/>
        <w:numPr>
          <w:ilvl w:val="0"/>
          <w:numId w:val="96"/>
        </w:numPr>
        <w:spacing w:line="276" w:lineRule="auto"/>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Правна рамка:</w:t>
      </w:r>
    </w:p>
    <w:p w:rsidR="007906A8" w:rsidRPr="00B058AD" w:rsidRDefault="007906A8" w:rsidP="00B058AD">
      <w:p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Въведените промени в законодателството на ЕС, особено в ДЕВИ II, създават необходимостта от ясна правна рамка за регулиране на съществуването и функционирането на енергийните общности.</w:t>
      </w:r>
    </w:p>
    <w:p w:rsidR="007906A8" w:rsidRPr="00B058AD" w:rsidRDefault="007906A8" w:rsidP="00B01311">
      <w:pPr>
        <w:pStyle w:val="ListParagraph"/>
        <w:numPr>
          <w:ilvl w:val="0"/>
          <w:numId w:val="96"/>
        </w:numPr>
        <w:spacing w:line="276" w:lineRule="auto"/>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Улесняване на достъпа до финансиране:</w:t>
      </w:r>
    </w:p>
    <w:p w:rsidR="007906A8" w:rsidRPr="00B058AD" w:rsidRDefault="007906A8" w:rsidP="00B058AD">
      <w:pPr>
        <w:spacing w:line="276" w:lineRule="auto"/>
        <w:jc w:val="both"/>
        <w:rPr>
          <w:rFonts w:ascii="Times New Roman" w:hAnsi="Times New Roman" w:cs="Times New Roman"/>
          <w:sz w:val="24"/>
          <w:szCs w:val="24"/>
          <w:lang w:val="bg"/>
        </w:rPr>
      </w:pPr>
      <w:r w:rsidRPr="00B058AD">
        <w:rPr>
          <w:rFonts w:ascii="Times New Roman" w:hAnsi="Times New Roman" w:cs="Times New Roman"/>
          <w:sz w:val="24"/>
          <w:szCs w:val="24"/>
          <w:lang w:val="bg"/>
        </w:rPr>
        <w:t>Регистърът може да улесни достъпа до различни финансови инструменти, включително безвъзмездни средства, субсидии и финансиране от различни програми, насочени към насърчаване на политиките за устойчива енергия.</w:t>
      </w:r>
    </w:p>
    <w:p w:rsidR="007906A8" w:rsidRPr="00B058AD" w:rsidRDefault="007906A8" w:rsidP="00B01311">
      <w:pPr>
        <w:pStyle w:val="ListParagraph"/>
        <w:numPr>
          <w:ilvl w:val="0"/>
          <w:numId w:val="96"/>
        </w:numPr>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Прозрачност, доверие и отчетност:</w:t>
      </w:r>
    </w:p>
    <w:p w:rsidR="007906A8" w:rsidRPr="00B058AD" w:rsidRDefault="007906A8" w:rsidP="00B058AD">
      <w:pPr>
        <w:jc w:val="both"/>
        <w:rPr>
          <w:rFonts w:ascii="Times New Roman" w:hAnsi="Times New Roman" w:cs="Times New Roman"/>
          <w:sz w:val="24"/>
          <w:szCs w:val="24"/>
          <w:lang w:val="bg"/>
        </w:rPr>
      </w:pPr>
      <w:r w:rsidRPr="00B058AD">
        <w:rPr>
          <w:rFonts w:ascii="Times New Roman" w:hAnsi="Times New Roman" w:cs="Times New Roman"/>
          <w:sz w:val="24"/>
          <w:szCs w:val="24"/>
          <w:lang w:val="bg"/>
        </w:rPr>
        <w:t>Създаването на регистъра гарантира прозрачност по отношение на дейностите на енергийните общности, като по този начин се повишава доверието на участниците и инвеститорите.</w:t>
      </w:r>
    </w:p>
    <w:p w:rsidR="007906A8" w:rsidRPr="00B058AD" w:rsidRDefault="007906A8" w:rsidP="00B01311">
      <w:pPr>
        <w:pStyle w:val="ListParagraph"/>
        <w:numPr>
          <w:ilvl w:val="0"/>
          <w:numId w:val="96"/>
        </w:numPr>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Обмен на информация и опит:</w:t>
      </w:r>
    </w:p>
    <w:p w:rsidR="007906A8" w:rsidRPr="00B058AD" w:rsidRDefault="007906A8" w:rsidP="00B058AD">
      <w:pPr>
        <w:jc w:val="both"/>
        <w:rPr>
          <w:rFonts w:ascii="Times New Roman" w:hAnsi="Times New Roman" w:cs="Times New Roman"/>
          <w:sz w:val="24"/>
          <w:szCs w:val="24"/>
          <w:lang w:val="bg"/>
        </w:rPr>
      </w:pPr>
      <w:r w:rsidRPr="00B058AD">
        <w:rPr>
          <w:rFonts w:ascii="Times New Roman" w:hAnsi="Times New Roman" w:cs="Times New Roman"/>
          <w:sz w:val="24"/>
          <w:szCs w:val="24"/>
          <w:lang w:val="bg"/>
        </w:rPr>
        <w:t>Регистърът може да служи като платформа за обмен на информация и най-добри практики между различните енергийни общности, като допринася за тяхното развитие и устойчивост. Тя повишава обществената осведоменост за ползите от енергийните общности и тяхната социална, екологична и икономическа роля.</w:t>
      </w:r>
    </w:p>
    <w:p w:rsidR="007906A8" w:rsidRPr="00B058AD" w:rsidRDefault="007906A8" w:rsidP="00B01311">
      <w:pPr>
        <w:pStyle w:val="ListParagraph"/>
        <w:numPr>
          <w:ilvl w:val="0"/>
          <w:numId w:val="96"/>
        </w:numPr>
        <w:jc w:val="both"/>
        <w:rPr>
          <w:rFonts w:ascii="Times New Roman" w:hAnsi="Times New Roman" w:cs="Times New Roman"/>
          <w:sz w:val="24"/>
          <w:szCs w:val="24"/>
          <w:lang w:val="bg"/>
        </w:rPr>
      </w:pPr>
      <w:r w:rsidRPr="00B058AD">
        <w:rPr>
          <w:rFonts w:ascii="Times New Roman" w:hAnsi="Times New Roman" w:cs="Times New Roman"/>
          <w:b/>
          <w:bCs/>
          <w:sz w:val="24"/>
          <w:szCs w:val="24"/>
          <w:lang w:val="bg"/>
        </w:rPr>
        <w:t>Насърчаване на сътрудничеството:</w:t>
      </w:r>
    </w:p>
    <w:p w:rsidR="007906A8" w:rsidRPr="00B058AD" w:rsidRDefault="007906A8" w:rsidP="00B058AD">
      <w:pPr>
        <w:jc w:val="both"/>
        <w:rPr>
          <w:rFonts w:ascii="Times New Roman" w:hAnsi="Times New Roman" w:cs="Times New Roman"/>
          <w:sz w:val="24"/>
          <w:szCs w:val="24"/>
          <w:lang w:val="bg"/>
        </w:rPr>
      </w:pPr>
      <w:r w:rsidRPr="00B058AD">
        <w:rPr>
          <w:rFonts w:ascii="Times New Roman" w:hAnsi="Times New Roman" w:cs="Times New Roman"/>
          <w:sz w:val="24"/>
          <w:szCs w:val="24"/>
          <w:lang w:val="bg"/>
        </w:rPr>
        <w:lastRenderedPageBreak/>
        <w:t>Регистърът може да служи като платформа за обмен на информация, опит и най-добри практики между различните енергийни общности, като подпомага тяхното развитие.</w:t>
      </w:r>
    </w:p>
    <w:p w:rsidR="00FA57D1" w:rsidRDefault="007906A8" w:rsidP="00FA57D1">
      <w:pPr>
        <w:jc w:val="both"/>
        <w:rPr>
          <w:rFonts w:ascii="Times New Roman" w:hAnsi="Times New Roman" w:cs="Times New Roman"/>
          <w:sz w:val="24"/>
          <w:szCs w:val="24"/>
          <w:lang w:val="bg"/>
        </w:rPr>
      </w:pPr>
      <w:r w:rsidRPr="00B058AD">
        <w:rPr>
          <w:rFonts w:ascii="Times New Roman" w:hAnsi="Times New Roman" w:cs="Times New Roman"/>
          <w:sz w:val="24"/>
          <w:szCs w:val="24"/>
          <w:lang w:val="bg"/>
        </w:rPr>
        <w:t>Тези фактори подчертават значението на регистрирането на енергийните общности като част от усилията за насърчаване на устойчивото развитие и прехода към възобновяеми енергийни източници.</w:t>
      </w:r>
      <w:bookmarkStart w:id="201" w:name="bookmark346"/>
      <w:bookmarkStart w:id="202" w:name="bookmark345"/>
    </w:p>
    <w:p w:rsidR="00FA57D1" w:rsidRDefault="00FA57D1" w:rsidP="00FA57D1">
      <w:pPr>
        <w:jc w:val="both"/>
        <w:rPr>
          <w:rFonts w:ascii="Times New Roman" w:hAnsi="Times New Roman" w:cs="Times New Roman"/>
          <w:sz w:val="24"/>
          <w:szCs w:val="24"/>
          <w:lang w:val="bg"/>
        </w:rPr>
      </w:pPr>
    </w:p>
    <w:p w:rsidR="007906A8" w:rsidRDefault="00B058AD" w:rsidP="00FA57D1">
      <w:pPr>
        <w:jc w:val="both"/>
        <w:rPr>
          <w:rFonts w:ascii="Times New Roman" w:hAnsi="Times New Roman" w:cs="Times New Roman"/>
          <w:color w:val="24B1C0"/>
          <w:sz w:val="28"/>
          <w:szCs w:val="28"/>
          <w:lang w:val="bg"/>
        </w:rPr>
      </w:pPr>
      <w:r w:rsidRPr="006E3233">
        <w:rPr>
          <w:rFonts w:ascii="Times New Roman" w:hAnsi="Times New Roman" w:cs="Times New Roman"/>
          <w:color w:val="24B1C0"/>
          <w:sz w:val="28"/>
          <w:szCs w:val="28"/>
          <w:lang w:val="bg"/>
        </w:rPr>
        <w:t xml:space="preserve">5.1.2 </w:t>
      </w:r>
      <w:r w:rsidR="007906A8" w:rsidRPr="006E3233">
        <w:rPr>
          <w:rFonts w:ascii="Times New Roman" w:hAnsi="Times New Roman" w:cs="Times New Roman"/>
          <w:color w:val="24B1C0"/>
          <w:sz w:val="28"/>
          <w:szCs w:val="28"/>
          <w:lang w:val="bg"/>
        </w:rPr>
        <w:t>Пътна карта за създаване на регистър на енергийната общност в България</w:t>
      </w:r>
      <w:bookmarkEnd w:id="201"/>
      <w:bookmarkEnd w:id="202"/>
    </w:p>
    <w:p w:rsidR="00CE6D3C" w:rsidRPr="00CE6D3C" w:rsidRDefault="00CE6D3C" w:rsidP="00CE6D3C">
      <w:pPr>
        <w:rPr>
          <w:lang w:val="bg"/>
        </w:rPr>
      </w:pP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В настоящата пътна карта се предлагат законодателни и административни стъпки за създаването на регистър за ЦИК, РЕЦ и по избор за активни клиенти и потребители на собствена електроенергия от възобновяеми енергийни източници (CERES). Както е доразвито в раздел</w:t>
      </w:r>
      <w:hyperlink w:anchor="bookmark386" w:tooltip="Current Document">
        <w:r w:rsidRPr="006E3233">
          <w:rPr>
            <w:rStyle w:val="Hyperlink"/>
            <w:rFonts w:ascii="Times New Roman" w:hAnsi="Times New Roman" w:cs="Times New Roman"/>
            <w:sz w:val="24"/>
            <w:szCs w:val="24"/>
            <w:lang w:val="bg"/>
          </w:rPr>
          <w:t xml:space="preserve"> 5.3.3,</w:t>
        </w:r>
      </w:hyperlink>
      <w:r w:rsidRPr="006E3233">
        <w:rPr>
          <w:rFonts w:ascii="Times New Roman" w:hAnsi="Times New Roman" w:cs="Times New Roman"/>
          <w:sz w:val="24"/>
          <w:szCs w:val="24"/>
          <w:lang w:val="bg"/>
        </w:rPr>
        <w:t xml:space="preserve"> регистърът се администрира от АУЕР и по този начин ще се осигури прозрачност, контрол и улеснено участие на тези субекти на енергийния пазар.</w:t>
      </w:r>
    </w:p>
    <w:p w:rsidR="007906A8" w:rsidRPr="006E3233" w:rsidRDefault="007906A8" w:rsidP="006E3233">
      <w:pPr>
        <w:spacing w:line="276" w:lineRule="auto"/>
        <w:jc w:val="both"/>
        <w:rPr>
          <w:rFonts w:ascii="Times New Roman" w:hAnsi="Times New Roman" w:cs="Times New Roman"/>
          <w:sz w:val="24"/>
          <w:szCs w:val="24"/>
          <w:lang w:val="bg"/>
        </w:rPr>
      </w:pPr>
      <w:bookmarkStart w:id="203" w:name="bookmark348"/>
      <w:r w:rsidRPr="006E3233">
        <w:rPr>
          <w:rFonts w:ascii="Times New Roman" w:hAnsi="Times New Roman" w:cs="Times New Roman"/>
          <w:sz w:val="24"/>
          <w:szCs w:val="24"/>
          <w:lang w:val="bg"/>
        </w:rPr>
        <w:t>Законодателни стъпки: Изменение на Закона за ВЕИ и Закона за енергетиката</w:t>
      </w:r>
      <w:bookmarkEnd w:id="203"/>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b/>
          <w:bCs/>
          <w:sz w:val="24"/>
          <w:szCs w:val="24"/>
          <w:lang w:val="bg"/>
        </w:rPr>
        <w:t xml:space="preserve">А/ </w:t>
      </w:r>
      <w:r w:rsidRPr="006E3233">
        <w:rPr>
          <w:rFonts w:ascii="Times New Roman" w:hAnsi="Times New Roman" w:cs="Times New Roman"/>
          <w:sz w:val="24"/>
          <w:szCs w:val="24"/>
          <w:lang w:val="bg"/>
        </w:rPr>
        <w:t>Създаване на нови членове 18в и 18г от Закона за ВЕИ</w:t>
      </w:r>
    </w:p>
    <w:p w:rsidR="007906A8" w:rsidRPr="007906A8" w:rsidRDefault="007906A8" w:rsidP="007906A8">
      <w:pPr>
        <w:rPr>
          <w:lang w:val="bg"/>
        </w:rPr>
      </w:pPr>
      <w:r w:rsidRPr="007906A8">
        <w:rPr>
          <w:b/>
          <w:bCs/>
          <w:lang w:val="bg"/>
        </w:rPr>
        <w:t>Член 18в</w:t>
      </w:r>
    </w:p>
    <w:p w:rsidR="006E3233" w:rsidRDefault="007906A8" w:rsidP="00B01311">
      <w:pPr>
        <w:pStyle w:val="ListParagraph"/>
        <w:numPr>
          <w:ilvl w:val="0"/>
          <w:numId w:val="97"/>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Създава се Регистър на общностите за възобновяема енергия и гражданските енергийни общности (наричан по-долу „Регистърът“).</w:t>
      </w:r>
    </w:p>
    <w:p w:rsidR="007906A8" w:rsidRPr="006E3233" w:rsidRDefault="007906A8" w:rsidP="00B01311">
      <w:pPr>
        <w:pStyle w:val="ListParagraph"/>
        <w:numPr>
          <w:ilvl w:val="0"/>
          <w:numId w:val="97"/>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Регистърът се администрира от Агенцията за устойчиво енергийно развитие (АУЕР) и съдържа информация за:</w:t>
      </w:r>
    </w:p>
    <w:p w:rsidR="006E3233" w:rsidRDefault="007906A8" w:rsidP="00B01311">
      <w:pPr>
        <w:pStyle w:val="ListParagraph"/>
        <w:numPr>
          <w:ilvl w:val="0"/>
          <w:numId w:val="98"/>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Общности за възобновяема енергия - вид, структура, членове, инсталирана мощност, вид на използвания енергиен източник, местоположение и място на присъединяване на съответната енергийна общност, участници в енергийната общност, участие в енергийната общност на енергийно бедни домакинства или уязвими потребители, начин на организация, потребление и съхранение на енергия.</w:t>
      </w:r>
    </w:p>
    <w:p w:rsidR="006E3233" w:rsidRPr="006E3233" w:rsidRDefault="007906A8" w:rsidP="00B01311">
      <w:pPr>
        <w:pStyle w:val="ListParagraph"/>
        <w:numPr>
          <w:ilvl w:val="0"/>
          <w:numId w:val="98"/>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Граждански енергийни общности (ГЕО) - вид, структура, членове, инсталирана мощност, вид на използвания енергиен източник, местоположение и точка на присъединяване на съответната енергийна общност, участници в енергийната общност, участие в енергийната общност на енергийно бедни домакинства или уязвими потребители, начин на организация, потребление и съхранение на енергия</w:t>
      </w:r>
      <w:r w:rsidRPr="006E3233">
        <w:rPr>
          <w:lang w:val="bg"/>
        </w:rPr>
        <w:t>.</w:t>
      </w:r>
    </w:p>
    <w:p w:rsidR="006E3233" w:rsidRPr="006E3233" w:rsidRDefault="007906A8" w:rsidP="00B01311">
      <w:pPr>
        <w:pStyle w:val="ListParagraph"/>
        <w:numPr>
          <w:ilvl w:val="0"/>
          <w:numId w:val="97"/>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Вписването в регистъра е задължително за всички субекти, участващи на енергийния пазар в посочените категории, за да се гарантира прозрачност и контрол.</w:t>
      </w:r>
    </w:p>
    <w:p w:rsidR="006E3233" w:rsidRPr="006E3233" w:rsidRDefault="007906A8" w:rsidP="00B01311">
      <w:pPr>
        <w:pStyle w:val="ListParagraph"/>
        <w:numPr>
          <w:ilvl w:val="0"/>
          <w:numId w:val="97"/>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АУЕР следи за спазването на задълженията по регистрацията и предоставя публично достъпна информация за регистрираните лица.</w:t>
      </w:r>
    </w:p>
    <w:p w:rsidR="007906A8" w:rsidRPr="006E3233" w:rsidRDefault="007906A8" w:rsidP="00B01311">
      <w:pPr>
        <w:pStyle w:val="ListParagraph"/>
        <w:numPr>
          <w:ilvl w:val="0"/>
          <w:numId w:val="97"/>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Министърът на енергетиката приема Наредба за управление, поддържане и вписване или относими факти в регистъра.</w:t>
      </w:r>
    </w:p>
    <w:p w:rsidR="007906A8" w:rsidRPr="006E3233" w:rsidRDefault="007906A8" w:rsidP="006E3233">
      <w:pPr>
        <w:spacing w:line="276" w:lineRule="auto"/>
        <w:jc w:val="both"/>
        <w:rPr>
          <w:rFonts w:ascii="Times New Roman" w:hAnsi="Times New Roman" w:cs="Times New Roman"/>
          <w:sz w:val="24"/>
          <w:szCs w:val="24"/>
          <w:lang w:val="bg"/>
        </w:rPr>
      </w:pPr>
      <w:r w:rsidRPr="007906A8">
        <w:rPr>
          <w:b/>
          <w:bCs/>
          <w:lang w:val="bg"/>
        </w:rPr>
        <w:t>Б</w:t>
      </w:r>
      <w:r w:rsidRPr="006E3233">
        <w:rPr>
          <w:rFonts w:ascii="Times New Roman" w:hAnsi="Times New Roman" w:cs="Times New Roman"/>
          <w:b/>
          <w:bCs/>
          <w:sz w:val="24"/>
          <w:szCs w:val="24"/>
          <w:lang w:val="bg"/>
        </w:rPr>
        <w:t xml:space="preserve">/ </w:t>
      </w:r>
      <w:r w:rsidRPr="006E3233">
        <w:rPr>
          <w:rFonts w:ascii="Times New Roman" w:hAnsi="Times New Roman" w:cs="Times New Roman"/>
          <w:sz w:val="24"/>
          <w:szCs w:val="24"/>
          <w:lang w:val="bg"/>
        </w:rPr>
        <w:t>Допълнение към чл. 92б и 92в от Закона за енергетиката във връзка с вписването на обстоятелства в регистъра относно гражданските енергийни общности.</w:t>
      </w:r>
    </w:p>
    <w:p w:rsidR="007906A8" w:rsidRPr="00FA57D1" w:rsidRDefault="007906A8" w:rsidP="006E3233">
      <w:pPr>
        <w:spacing w:line="276" w:lineRule="auto"/>
        <w:jc w:val="both"/>
        <w:rPr>
          <w:rFonts w:ascii="Times New Roman" w:hAnsi="Times New Roman" w:cs="Times New Roman"/>
          <w:i/>
          <w:iCs/>
          <w:sz w:val="24"/>
          <w:szCs w:val="24"/>
          <w:lang w:val="bg-BG"/>
        </w:rPr>
      </w:pPr>
      <w:r w:rsidRPr="006E3233">
        <w:rPr>
          <w:rFonts w:ascii="Times New Roman" w:hAnsi="Times New Roman" w:cs="Times New Roman"/>
          <w:b/>
          <w:bCs/>
          <w:sz w:val="24"/>
          <w:szCs w:val="24"/>
          <w:lang w:val="bg"/>
        </w:rPr>
        <w:lastRenderedPageBreak/>
        <w:t xml:space="preserve">В/ </w:t>
      </w:r>
      <w:r w:rsidRPr="006E3233">
        <w:rPr>
          <w:rFonts w:ascii="Times New Roman" w:hAnsi="Times New Roman" w:cs="Times New Roman"/>
          <w:sz w:val="24"/>
          <w:szCs w:val="24"/>
          <w:lang w:val="bg"/>
        </w:rPr>
        <w:t>Обсъждане на допълнение към административните разпоредби във връзка с въвеждането на задължение (и санкция) при неизпълнение на задължението за вписване</w:t>
      </w:r>
      <w:bookmarkStart w:id="204" w:name="bookmark350"/>
      <w:r w:rsidR="00FA57D1">
        <w:rPr>
          <w:rFonts w:ascii="Times New Roman" w:hAnsi="Times New Roman" w:cs="Times New Roman"/>
          <w:sz w:val="24"/>
          <w:szCs w:val="24"/>
          <w:lang w:val="bg-BG"/>
        </w:rPr>
        <w:t xml:space="preserve"> на субекти в Регистъ</w:t>
      </w:r>
      <w:r w:rsidRPr="006E3233">
        <w:rPr>
          <w:rFonts w:ascii="Times New Roman" w:hAnsi="Times New Roman" w:cs="Times New Roman"/>
          <w:color w:val="24B1C0"/>
          <w:sz w:val="24"/>
          <w:szCs w:val="24"/>
          <w:lang w:val="bg"/>
        </w:rPr>
        <w:t>Административна и техническа подготовка, както и изпълнение на проекта</w:t>
      </w:r>
      <w:bookmarkEnd w:id="204"/>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b/>
          <w:bCs/>
          <w:sz w:val="24"/>
          <w:szCs w:val="24"/>
          <w:lang w:val="bg"/>
        </w:rPr>
        <w:t>Етап 1: Анализ и подготовка</w:t>
      </w:r>
    </w:p>
    <w:p w:rsidR="006E3233" w:rsidRDefault="007906A8" w:rsidP="00B01311">
      <w:pPr>
        <w:pStyle w:val="ListParagraph"/>
        <w:numPr>
          <w:ilvl w:val="0"/>
          <w:numId w:val="99"/>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Преглед на най-добрите европейски практики.</w:t>
      </w:r>
    </w:p>
    <w:p w:rsidR="006E3233" w:rsidRDefault="007906A8" w:rsidP="00B01311">
      <w:pPr>
        <w:pStyle w:val="ListParagraph"/>
        <w:numPr>
          <w:ilvl w:val="0"/>
          <w:numId w:val="99"/>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Определяне на техническите изисквания за регистъра.</w:t>
      </w:r>
    </w:p>
    <w:p w:rsidR="007906A8" w:rsidRPr="006E3233" w:rsidRDefault="007906A8" w:rsidP="00B01311">
      <w:pPr>
        <w:pStyle w:val="ListParagraph"/>
        <w:numPr>
          <w:ilvl w:val="0"/>
          <w:numId w:val="99"/>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Изготвяне на проект за изменение и допълнение на Закона за ВЕИ, Закона за енергетиката и съпътстващите го нормативни актове.</w:t>
      </w: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b/>
          <w:bCs/>
          <w:sz w:val="24"/>
          <w:szCs w:val="24"/>
          <w:lang w:val="bg"/>
        </w:rPr>
        <w:t>Етап 2: Законодателни промени и одобрение</w:t>
      </w:r>
    </w:p>
    <w:p w:rsidR="006E3233" w:rsidRDefault="007906A8" w:rsidP="00B01311">
      <w:pPr>
        <w:pStyle w:val="ListParagraph"/>
        <w:numPr>
          <w:ilvl w:val="0"/>
          <w:numId w:val="100"/>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Внасяне на законодателното предложение в Народното събрание.</w:t>
      </w:r>
    </w:p>
    <w:p w:rsidR="006E3233" w:rsidRDefault="007906A8" w:rsidP="00B01311">
      <w:pPr>
        <w:pStyle w:val="ListParagraph"/>
        <w:numPr>
          <w:ilvl w:val="0"/>
          <w:numId w:val="100"/>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Обсъждане и приемане на нов член 18в и член 18г от Закона за ВЕИ в съответствие с предложението на CEСB.</w:t>
      </w:r>
    </w:p>
    <w:p w:rsidR="007906A8" w:rsidRPr="006E3233" w:rsidRDefault="007906A8" w:rsidP="00B01311">
      <w:pPr>
        <w:pStyle w:val="ListParagraph"/>
        <w:numPr>
          <w:ilvl w:val="0"/>
          <w:numId w:val="100"/>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Разработване на подзаконово законодателство - участници Министерство на енергетиката и АУЕР.</w:t>
      </w: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b/>
          <w:bCs/>
          <w:sz w:val="24"/>
          <w:szCs w:val="24"/>
          <w:lang w:val="bg"/>
        </w:rPr>
        <w:t>Етап 3: Разработване на регистъра</w:t>
      </w:r>
    </w:p>
    <w:p w:rsidR="006E3233" w:rsidRDefault="007906A8" w:rsidP="00B01311">
      <w:pPr>
        <w:pStyle w:val="ListParagraph"/>
        <w:numPr>
          <w:ilvl w:val="0"/>
          <w:numId w:val="101"/>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Разработване на електронна регистрационна система в рамките на АУЕР.</w:t>
      </w:r>
    </w:p>
    <w:p w:rsidR="006E3233" w:rsidRDefault="007906A8" w:rsidP="00B01311">
      <w:pPr>
        <w:pStyle w:val="ListParagraph"/>
        <w:numPr>
          <w:ilvl w:val="0"/>
          <w:numId w:val="101"/>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Тестване и внедряване на основни функционалности.</w:t>
      </w:r>
    </w:p>
    <w:p w:rsidR="007906A8" w:rsidRPr="006E3233" w:rsidRDefault="007906A8" w:rsidP="00B01311">
      <w:pPr>
        <w:pStyle w:val="ListParagraph"/>
        <w:numPr>
          <w:ilvl w:val="0"/>
          <w:numId w:val="101"/>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Интеграция с КЕВР, ЕСО и други регулаторни системи</w:t>
      </w:r>
      <w:r w:rsidRPr="006E3233">
        <w:rPr>
          <w:lang w:val="bg"/>
        </w:rPr>
        <w:t>.</w:t>
      </w: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b/>
          <w:bCs/>
          <w:sz w:val="24"/>
          <w:szCs w:val="24"/>
          <w:lang w:val="bg"/>
        </w:rPr>
        <w:t>Етап 4: Изпълнение и мониторинг</w:t>
      </w:r>
    </w:p>
    <w:p w:rsidR="006E3233" w:rsidRDefault="007906A8" w:rsidP="00B01311">
      <w:pPr>
        <w:pStyle w:val="ListParagraph"/>
        <w:numPr>
          <w:ilvl w:val="0"/>
          <w:numId w:val="102"/>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Обучение на екипа на АУЕР за управление на Регистъра.</w:t>
      </w:r>
    </w:p>
    <w:p w:rsidR="006E3233" w:rsidRDefault="007906A8" w:rsidP="00B01311">
      <w:pPr>
        <w:pStyle w:val="ListParagraph"/>
        <w:numPr>
          <w:ilvl w:val="0"/>
          <w:numId w:val="102"/>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Начало на първоначалното влизане на субекти.</w:t>
      </w:r>
    </w:p>
    <w:p w:rsidR="006E3233" w:rsidRDefault="007906A8" w:rsidP="00B01311">
      <w:pPr>
        <w:pStyle w:val="ListParagraph"/>
        <w:numPr>
          <w:ilvl w:val="0"/>
          <w:numId w:val="102"/>
        </w:num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Наблюдение на ефективността и подобряване на процесите.</w:t>
      </w:r>
    </w:p>
    <w:p w:rsidR="00CE6D3C" w:rsidRPr="00CE6D3C" w:rsidRDefault="00CE6D3C" w:rsidP="00CE6D3C">
      <w:pPr>
        <w:pStyle w:val="ListParagraph"/>
        <w:spacing w:line="276" w:lineRule="auto"/>
        <w:jc w:val="both"/>
        <w:rPr>
          <w:rFonts w:ascii="Times New Roman" w:hAnsi="Times New Roman" w:cs="Times New Roman"/>
          <w:sz w:val="24"/>
          <w:szCs w:val="24"/>
          <w:lang w:val="bg"/>
        </w:rPr>
      </w:pPr>
    </w:p>
    <w:p w:rsidR="007906A8" w:rsidRPr="00CE6D3C" w:rsidRDefault="007906A8" w:rsidP="00CE6D3C">
      <w:pPr>
        <w:pStyle w:val="Heading3"/>
        <w:spacing w:line="276" w:lineRule="auto"/>
        <w:jc w:val="both"/>
        <w:rPr>
          <w:rFonts w:ascii="Times New Roman" w:hAnsi="Times New Roman" w:cs="Times New Roman"/>
          <w:sz w:val="28"/>
          <w:szCs w:val="28"/>
          <w:lang w:val="bg"/>
        </w:rPr>
      </w:pPr>
      <w:bookmarkStart w:id="205" w:name="bookmark353"/>
      <w:bookmarkStart w:id="206" w:name="bookmark352"/>
      <w:bookmarkStart w:id="207" w:name="_Toc203141296"/>
      <w:r w:rsidRPr="00CE6D3C">
        <w:rPr>
          <w:rStyle w:val="Heading3Char"/>
          <w:rFonts w:ascii="Times New Roman" w:hAnsi="Times New Roman" w:cs="Times New Roman"/>
          <w:color w:val="24B1C0"/>
          <w:sz w:val="28"/>
          <w:szCs w:val="28"/>
        </w:rPr>
        <w:t>5.1.3 Правна и техническа рамка на регистъра, гарантираща спазването на българското и европейското законодателство</w:t>
      </w:r>
      <w:r w:rsidRPr="00CE6D3C">
        <w:rPr>
          <w:rFonts w:ascii="Times New Roman" w:hAnsi="Times New Roman" w:cs="Times New Roman"/>
          <w:sz w:val="28"/>
          <w:szCs w:val="28"/>
          <w:lang w:val="bg"/>
        </w:rPr>
        <w:t>.</w:t>
      </w:r>
      <w:bookmarkEnd w:id="205"/>
      <w:bookmarkEnd w:id="206"/>
      <w:bookmarkEnd w:id="207"/>
    </w:p>
    <w:p w:rsidR="00CE6D3C" w:rsidRPr="007906A8" w:rsidRDefault="00CE6D3C" w:rsidP="006E3233">
      <w:pPr>
        <w:spacing w:line="276" w:lineRule="auto"/>
        <w:jc w:val="both"/>
        <w:rPr>
          <w:lang w:val="bg"/>
        </w:rPr>
      </w:pPr>
    </w:p>
    <w:p w:rsidR="008337BA" w:rsidRDefault="008337BA" w:rsidP="006E3233">
      <w:pPr>
        <w:spacing w:line="276" w:lineRule="auto"/>
        <w:jc w:val="both"/>
        <w:rPr>
          <w:rFonts w:ascii="Times New Roman" w:hAnsi="Times New Roman" w:cs="Times New Roman"/>
          <w:sz w:val="24"/>
          <w:szCs w:val="24"/>
          <w:lang w:val="bg"/>
        </w:rPr>
      </w:pPr>
      <w:bookmarkStart w:id="208" w:name="bookmark355"/>
    </w:p>
    <w:p w:rsid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Таблица 2 — Правна и техническа рамка за регистъра, посочен в Закона за енергетиката и Закона за ВЕИ.</w:t>
      </w:r>
      <w:bookmarkEnd w:id="208"/>
    </w:p>
    <w:p w:rsidR="008337BA" w:rsidRDefault="008337BA" w:rsidP="006E3233">
      <w:pPr>
        <w:spacing w:line="276" w:lineRule="auto"/>
        <w:jc w:val="both"/>
        <w:rPr>
          <w:rFonts w:ascii="Times New Roman" w:hAnsi="Times New Roman" w:cs="Times New Roman"/>
          <w:sz w:val="24"/>
          <w:szCs w:val="24"/>
          <w:lang w:val="bg"/>
        </w:rPr>
      </w:pPr>
    </w:p>
    <w:p w:rsidR="008337BA" w:rsidRDefault="008337BA" w:rsidP="006E3233">
      <w:pPr>
        <w:spacing w:line="276" w:lineRule="auto"/>
        <w:jc w:val="both"/>
        <w:rPr>
          <w:rFonts w:ascii="Times New Roman" w:hAnsi="Times New Roman" w:cs="Times New Roman"/>
          <w:sz w:val="24"/>
          <w:szCs w:val="24"/>
          <w:lang w:val="bg"/>
        </w:rPr>
      </w:pPr>
    </w:p>
    <w:p w:rsidR="008337BA" w:rsidRDefault="008337BA" w:rsidP="006E3233">
      <w:pPr>
        <w:spacing w:line="276" w:lineRule="auto"/>
        <w:jc w:val="both"/>
        <w:rPr>
          <w:rFonts w:ascii="Times New Roman" w:hAnsi="Times New Roman" w:cs="Times New Roman"/>
          <w:sz w:val="24"/>
          <w:szCs w:val="24"/>
          <w:lang w:val="bg"/>
        </w:rPr>
      </w:pPr>
    </w:p>
    <w:p w:rsidR="008337BA" w:rsidRDefault="008337BA" w:rsidP="006E3233">
      <w:pPr>
        <w:spacing w:line="276" w:lineRule="auto"/>
        <w:jc w:val="both"/>
        <w:rPr>
          <w:rFonts w:ascii="Times New Roman" w:hAnsi="Times New Roman" w:cs="Times New Roman"/>
          <w:sz w:val="24"/>
          <w:szCs w:val="24"/>
          <w:lang w:val="bg"/>
        </w:rPr>
      </w:pPr>
    </w:p>
    <w:p w:rsidR="008337BA" w:rsidRDefault="008337BA" w:rsidP="006E3233">
      <w:pPr>
        <w:spacing w:line="276" w:lineRule="auto"/>
        <w:jc w:val="both"/>
        <w:rPr>
          <w:rFonts w:ascii="Times New Roman" w:hAnsi="Times New Roman" w:cs="Times New Roman"/>
          <w:sz w:val="24"/>
          <w:szCs w:val="24"/>
          <w:lang w:val="bg"/>
        </w:rPr>
      </w:pPr>
    </w:p>
    <w:p w:rsidR="008337BA" w:rsidRPr="006E3233" w:rsidRDefault="008337BA" w:rsidP="006E3233">
      <w:pPr>
        <w:spacing w:line="276" w:lineRule="auto"/>
        <w:jc w:val="both"/>
        <w:rPr>
          <w:rFonts w:ascii="Times New Roman" w:hAnsi="Times New Roman" w:cs="Times New Roman"/>
          <w:sz w:val="24"/>
          <w:szCs w:val="24"/>
          <w:lang w:val="bg"/>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02"/>
        <w:gridCol w:w="4555"/>
      </w:tblGrid>
      <w:tr w:rsidR="007906A8" w:rsidRPr="00D13962" w:rsidTr="005A0A7F">
        <w:trPr>
          <w:trHeight w:hRule="exact" w:val="499"/>
          <w:jc w:val="center"/>
        </w:trPr>
        <w:tc>
          <w:tcPr>
            <w:tcW w:w="4402" w:type="dxa"/>
            <w:tcBorders>
              <w:top w:val="single" w:sz="4" w:space="0" w:color="auto"/>
              <w:left w:val="single" w:sz="4" w:space="0" w:color="auto"/>
            </w:tcBorders>
            <w:shd w:val="clear" w:color="auto" w:fill="auto"/>
            <w:vAlign w:val="bottom"/>
          </w:tcPr>
          <w:p w:rsidR="007906A8" w:rsidRPr="00D13962" w:rsidRDefault="007906A8" w:rsidP="007906A8">
            <w:pPr>
              <w:rPr>
                <w:rFonts w:ascii="Times New Roman" w:hAnsi="Times New Roman" w:cs="Times New Roman"/>
                <w:sz w:val="20"/>
                <w:szCs w:val="20"/>
              </w:rPr>
            </w:pPr>
            <w:r w:rsidRPr="00D13962">
              <w:rPr>
                <w:rFonts w:ascii="Times New Roman" w:hAnsi="Times New Roman" w:cs="Times New Roman"/>
                <w:b/>
                <w:bCs/>
                <w:sz w:val="20"/>
                <w:szCs w:val="20"/>
                <w:lang w:val="bg"/>
              </w:rPr>
              <w:lastRenderedPageBreak/>
              <w:t xml:space="preserve">Закон за енергетиката — </w:t>
            </w:r>
            <w:r w:rsidRPr="00D13962">
              <w:rPr>
                <w:rFonts w:ascii="Times New Roman" w:hAnsi="Times New Roman" w:cs="Times New Roman"/>
                <w:b/>
                <w:bCs/>
                <w:sz w:val="20"/>
                <w:szCs w:val="20"/>
              </w:rPr>
              <w:t>CEC</w:t>
            </w:r>
          </w:p>
        </w:tc>
        <w:tc>
          <w:tcPr>
            <w:tcW w:w="4555" w:type="dxa"/>
            <w:tcBorders>
              <w:top w:val="single" w:sz="4" w:space="0" w:color="auto"/>
              <w:left w:val="single" w:sz="4" w:space="0" w:color="auto"/>
              <w:right w:val="single" w:sz="4" w:space="0" w:color="auto"/>
            </w:tcBorders>
            <w:shd w:val="clear" w:color="auto" w:fill="auto"/>
            <w:vAlign w:val="bottom"/>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BG"/>
              </w:rPr>
              <w:t>ЗЕВИ</w:t>
            </w:r>
            <w:r w:rsidRPr="00D13962">
              <w:rPr>
                <w:rFonts w:ascii="Times New Roman" w:hAnsi="Times New Roman" w:cs="Times New Roman"/>
                <w:b/>
                <w:bCs/>
                <w:sz w:val="20"/>
                <w:szCs w:val="20"/>
                <w:lang w:val="bg"/>
              </w:rPr>
              <w:t xml:space="preserve"> — REC</w:t>
            </w:r>
          </w:p>
        </w:tc>
      </w:tr>
      <w:tr w:rsidR="007906A8" w:rsidRPr="00D13962" w:rsidTr="00D13962">
        <w:trPr>
          <w:trHeight w:hRule="exact" w:val="1501"/>
          <w:jc w:val="center"/>
        </w:trPr>
        <w:tc>
          <w:tcPr>
            <w:tcW w:w="4402" w:type="dxa"/>
            <w:tcBorders>
              <w:top w:val="single" w:sz="4" w:space="0" w:color="auto"/>
              <w:left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(76):</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в) които могат да извършват производство, включително на енергия от възобновяеми източници;</w:t>
            </w:r>
          </w:p>
        </w:tc>
        <w:tc>
          <w:tcPr>
            <w:tcW w:w="4555" w:type="dxa"/>
            <w:tcBorders>
              <w:top w:val="single" w:sz="4" w:space="0" w:color="auto"/>
              <w:left w:val="single" w:sz="4" w:space="0" w:color="auto"/>
              <w:right w:val="single" w:sz="4" w:space="0" w:color="auto"/>
            </w:tcBorders>
            <w:shd w:val="clear" w:color="auto" w:fill="auto"/>
            <w:vAlign w:val="bottom"/>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Член 18б (2)</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1. може да произвежда, потребява, съхранява и продава излишни количества енергия от възобновяеми източници като равноправен участник на енергийните пазари при условията, определени в Закона за енергетиката, включително чрез договори за изкупуване на електрическа енергия;</w:t>
            </w:r>
          </w:p>
        </w:tc>
      </w:tr>
      <w:tr w:rsidR="007906A8" w:rsidRPr="00D13962" w:rsidTr="00D13962">
        <w:trPr>
          <w:trHeight w:hRule="exact" w:val="1564"/>
          <w:jc w:val="center"/>
        </w:trPr>
        <w:tc>
          <w:tcPr>
            <w:tcW w:w="4402" w:type="dxa"/>
            <w:tcBorders>
              <w:top w:val="single" w:sz="4" w:space="0" w:color="auto"/>
              <w:left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(76):</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а) въз основа на доброволно и открито участие, ефективно контролирано от членове, партньори или акционери, които са физически лица, общини или малки предприятия;</w:t>
            </w:r>
          </w:p>
        </w:tc>
        <w:tc>
          <w:tcPr>
            <w:tcW w:w="4555" w:type="dxa"/>
            <w:tcBorders>
              <w:top w:val="single" w:sz="4" w:space="0" w:color="auto"/>
              <w:left w:val="single" w:sz="4" w:space="0" w:color="auto"/>
              <w:right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(56):</w:t>
            </w:r>
          </w:p>
          <w:p w:rsidR="007906A8"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а) се основава на открито и доброволно участие, независимо е и се контролира ефективно от своите акционери, партньори или членове;</w:t>
            </w:r>
          </w:p>
          <w:p w:rsidR="00D13962" w:rsidRPr="00D13962" w:rsidRDefault="00D13962" w:rsidP="007906A8">
            <w:pPr>
              <w:rPr>
                <w:rFonts w:ascii="Times New Roman" w:hAnsi="Times New Roman" w:cs="Times New Roman"/>
                <w:sz w:val="20"/>
                <w:szCs w:val="20"/>
                <w:lang w:val="bg"/>
              </w:rPr>
            </w:pPr>
          </w:p>
        </w:tc>
      </w:tr>
      <w:tr w:rsidR="007906A8" w:rsidRPr="00D13962" w:rsidTr="00D13962">
        <w:trPr>
          <w:trHeight w:hRule="exact" w:val="2961"/>
          <w:jc w:val="center"/>
        </w:trPr>
        <w:tc>
          <w:tcPr>
            <w:tcW w:w="4402" w:type="dxa"/>
            <w:tcBorders>
              <w:top w:val="single" w:sz="4" w:space="0" w:color="auto"/>
              <w:left w:val="single" w:sz="4" w:space="0" w:color="auto"/>
            </w:tcBorders>
            <w:shd w:val="clear" w:color="auto" w:fill="auto"/>
            <w:vAlign w:val="bottom"/>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(76):</w:t>
            </w:r>
          </w:p>
          <w:p w:rsidR="006E3233"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в) които могат да извършват производство, включително на енергия от възобновяеми източници, разпределение,</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 xml:space="preserve"> доставка, потребление, агрегиране, акумулиране на електрическа енергия, услуги за подобряване на енергийната ефективност или услуги за зареждане на електрически превозни средства, или да предоставят други енергийни услуги на своите членове или акционери.</w:t>
            </w:r>
          </w:p>
        </w:tc>
        <w:tc>
          <w:tcPr>
            <w:tcW w:w="4555" w:type="dxa"/>
            <w:tcBorders>
              <w:top w:val="single" w:sz="4" w:space="0" w:color="auto"/>
              <w:left w:val="single" w:sz="4" w:space="0" w:color="auto"/>
              <w:right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(56):</w:t>
            </w:r>
          </w:p>
          <w:p w:rsidR="006E3233"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 xml:space="preserve">б) притежава и управлява инсталации/инсталации за производство на енергия от възобновяеми източници, </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разположени в урбанизирана зона, и съоръжения, в които неговите акционери, партньори или членове потребяват произведената енергия;</w:t>
            </w:r>
          </w:p>
        </w:tc>
      </w:tr>
      <w:tr w:rsidR="007906A8" w:rsidRPr="00D13962" w:rsidTr="006E3233">
        <w:trPr>
          <w:trHeight w:hRule="exact" w:val="2003"/>
          <w:jc w:val="center"/>
        </w:trPr>
        <w:tc>
          <w:tcPr>
            <w:tcW w:w="4402" w:type="dxa"/>
            <w:tcBorders>
              <w:top w:val="single" w:sz="4" w:space="0" w:color="auto"/>
              <w:left w:val="single" w:sz="4" w:space="0" w:color="auto"/>
              <w:bottom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(76):</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а) въз основа на доброволно и открито участие, ефективно контролирано от членове, партньори или акционери, които са физически лица, общини или малки предприятия;</w:t>
            </w:r>
          </w:p>
        </w:tc>
        <w:tc>
          <w:tcPr>
            <w:tcW w:w="4555" w:type="dxa"/>
            <w:tcBorders>
              <w:top w:val="single" w:sz="4" w:space="0" w:color="auto"/>
              <w:left w:val="single" w:sz="4" w:space="0" w:color="auto"/>
              <w:bottom w:val="single" w:sz="4" w:space="0" w:color="auto"/>
              <w:right w:val="single" w:sz="4" w:space="0" w:color="auto"/>
            </w:tcBorders>
            <w:shd w:val="clear" w:color="auto" w:fill="auto"/>
          </w:tcPr>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(56):</w:t>
            </w:r>
          </w:p>
          <w:p w:rsidR="007906A8" w:rsidRPr="00D13962" w:rsidRDefault="007906A8" w:rsidP="007906A8">
            <w:pPr>
              <w:rPr>
                <w:rFonts w:ascii="Times New Roman" w:hAnsi="Times New Roman" w:cs="Times New Roman"/>
                <w:sz w:val="20"/>
                <w:szCs w:val="20"/>
                <w:lang w:val="bg"/>
              </w:rPr>
            </w:pPr>
            <w:r w:rsidRPr="00D13962">
              <w:rPr>
                <w:rFonts w:ascii="Times New Roman" w:hAnsi="Times New Roman" w:cs="Times New Roman"/>
                <w:sz w:val="20"/>
                <w:szCs w:val="20"/>
                <w:lang w:val="bg"/>
              </w:rPr>
              <w:t>в) се състои от акционери, съдружници или членове, които са физически лица, малки и средни предприятия или общини;</w:t>
            </w:r>
          </w:p>
        </w:tc>
      </w:tr>
    </w:tbl>
    <w:p w:rsidR="006E3233" w:rsidRDefault="006E3233" w:rsidP="007906A8">
      <w:pPr>
        <w:rPr>
          <w:lang w:val="bg"/>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402"/>
        <w:gridCol w:w="4555"/>
      </w:tblGrid>
      <w:tr w:rsidR="006E3233" w:rsidRPr="00D13962" w:rsidTr="00D13962">
        <w:trPr>
          <w:trHeight w:hRule="exact" w:val="2726"/>
          <w:jc w:val="center"/>
        </w:trPr>
        <w:tc>
          <w:tcPr>
            <w:tcW w:w="4402" w:type="dxa"/>
            <w:tcBorders>
              <w:top w:val="single" w:sz="4" w:space="0" w:color="auto"/>
              <w:left w:val="single" w:sz="4" w:space="0" w:color="auto"/>
            </w:tcBorders>
            <w:shd w:val="clear" w:color="auto" w:fill="auto"/>
          </w:tcPr>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(76):</w:t>
            </w:r>
          </w:p>
          <w:p w:rsidR="006E3233" w:rsidRPr="00D13962" w:rsidRDefault="006E3233" w:rsidP="008337BA">
            <w:pPr>
              <w:rPr>
                <w:rFonts w:ascii="Times New Roman" w:hAnsi="Times New Roman" w:cs="Times New Roman"/>
                <w:sz w:val="20"/>
                <w:szCs w:val="20"/>
                <w:lang w:val="bg-BG"/>
              </w:rPr>
            </w:pPr>
            <w:r w:rsidRPr="00D13962">
              <w:rPr>
                <w:rFonts w:ascii="Times New Roman" w:hAnsi="Times New Roman" w:cs="Times New Roman"/>
                <w:sz w:val="20"/>
                <w:szCs w:val="20"/>
                <w:lang w:val="bg"/>
              </w:rPr>
              <w:t>б) която има за основна цел предоставянето на екологични, икономически или социални ползи на своите членове или акционери или на местните райони, в които извършва д</w:t>
            </w:r>
            <w:r w:rsidR="008337BA" w:rsidRPr="00D13962">
              <w:rPr>
                <w:rFonts w:ascii="Times New Roman" w:hAnsi="Times New Roman" w:cs="Times New Roman"/>
                <w:sz w:val="20"/>
                <w:szCs w:val="20"/>
                <w:lang w:val="bg"/>
              </w:rPr>
              <w:t>ейност, а не финансова печалба,</w:t>
            </w:r>
          </w:p>
        </w:tc>
        <w:tc>
          <w:tcPr>
            <w:tcW w:w="4555" w:type="dxa"/>
            <w:tcBorders>
              <w:top w:val="single" w:sz="4" w:space="0" w:color="auto"/>
              <w:left w:val="single" w:sz="4" w:space="0" w:color="auto"/>
              <w:right w:val="single" w:sz="4" w:space="0" w:color="auto"/>
            </w:tcBorders>
            <w:shd w:val="clear" w:color="auto" w:fill="auto"/>
            <w:vAlign w:val="bottom"/>
          </w:tcPr>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b/>
                <w:bCs/>
                <w:sz w:val="20"/>
                <w:szCs w:val="20"/>
                <w:lang w:val="bg"/>
              </w:rPr>
              <w:t>Допълнителни разпоредби (56):</w:t>
            </w:r>
          </w:p>
          <w:p w:rsidR="006E3233" w:rsidRPr="00D13962" w:rsidRDefault="006E3233" w:rsidP="00DF14F0">
            <w:pPr>
              <w:numPr>
                <w:ilvl w:val="0"/>
                <w:numId w:val="28"/>
              </w:numPr>
              <w:rPr>
                <w:rFonts w:ascii="Times New Roman" w:hAnsi="Times New Roman" w:cs="Times New Roman"/>
                <w:sz w:val="20"/>
                <w:szCs w:val="20"/>
                <w:lang w:val="bg"/>
              </w:rPr>
            </w:pPr>
            <w:r w:rsidRPr="00D13962">
              <w:rPr>
                <w:rFonts w:ascii="Times New Roman" w:hAnsi="Times New Roman" w:cs="Times New Roman"/>
                <w:sz w:val="20"/>
                <w:szCs w:val="20"/>
                <w:lang w:val="bg"/>
              </w:rPr>
              <w:t>се състои от акционери, съдружници или членове, които са физически лица, малки и средни предприятия или общини.</w:t>
            </w:r>
          </w:p>
          <w:p w:rsidR="006E3233" w:rsidRPr="00D13962" w:rsidRDefault="006E3233" w:rsidP="00DF14F0">
            <w:pPr>
              <w:numPr>
                <w:ilvl w:val="0"/>
                <w:numId w:val="28"/>
              </w:numPr>
              <w:rPr>
                <w:rFonts w:ascii="Times New Roman" w:hAnsi="Times New Roman" w:cs="Times New Roman"/>
                <w:sz w:val="20"/>
                <w:szCs w:val="20"/>
                <w:lang w:val="bg"/>
              </w:rPr>
            </w:pPr>
            <w:r w:rsidRPr="00D13962">
              <w:rPr>
                <w:rFonts w:ascii="Times New Roman" w:hAnsi="Times New Roman" w:cs="Times New Roman"/>
                <w:sz w:val="20"/>
                <w:szCs w:val="20"/>
                <w:lang w:val="bg"/>
              </w:rPr>
              <w:t>има за основна цел да предоставя на своите акционери, съдружници или членове или на областите, в които извършва дейност, не толкова финансови, колкото екологични, икономически или социални ползи;</w:t>
            </w:r>
          </w:p>
        </w:tc>
      </w:tr>
      <w:tr w:rsidR="006E3233" w:rsidRPr="00D13962" w:rsidTr="006E3233">
        <w:trPr>
          <w:trHeight w:hRule="exact" w:val="2359"/>
          <w:jc w:val="center"/>
        </w:trPr>
        <w:tc>
          <w:tcPr>
            <w:tcW w:w="4402" w:type="dxa"/>
            <w:tcBorders>
              <w:top w:val="single" w:sz="4" w:space="0" w:color="auto"/>
              <w:left w:val="single" w:sz="4" w:space="0" w:color="auto"/>
              <w:bottom w:val="single" w:sz="4" w:space="0" w:color="auto"/>
            </w:tcBorders>
            <w:shd w:val="clear" w:color="auto" w:fill="auto"/>
            <w:vAlign w:val="bottom"/>
          </w:tcPr>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b/>
                <w:bCs/>
                <w:sz w:val="20"/>
                <w:szCs w:val="20"/>
                <w:lang w:val="bg"/>
              </w:rPr>
              <w:t>Член 92б (5):</w:t>
            </w:r>
          </w:p>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sz w:val="20"/>
                <w:szCs w:val="20"/>
                <w:lang w:val="bg"/>
              </w:rPr>
              <w:t>прилагане на недискриминационно третиране спрямо общностите във връзка с техните дейности, права и задължения като крайни потребители, производители, доставчици или като други участници на пазара;</w:t>
            </w:r>
          </w:p>
        </w:tc>
        <w:tc>
          <w:tcPr>
            <w:tcW w:w="4555" w:type="dxa"/>
            <w:tcBorders>
              <w:top w:val="single" w:sz="4" w:space="0" w:color="auto"/>
              <w:left w:val="single" w:sz="4" w:space="0" w:color="auto"/>
              <w:bottom w:val="single" w:sz="4" w:space="0" w:color="auto"/>
              <w:right w:val="single" w:sz="4" w:space="0" w:color="auto"/>
            </w:tcBorders>
            <w:shd w:val="clear" w:color="auto" w:fill="auto"/>
          </w:tcPr>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b/>
                <w:bCs/>
                <w:sz w:val="20"/>
                <w:szCs w:val="20"/>
                <w:lang w:val="bg"/>
              </w:rPr>
              <w:t>Член 18б (3)</w:t>
            </w:r>
          </w:p>
          <w:p w:rsidR="006E3233" w:rsidRPr="00D13962" w:rsidRDefault="006E3233" w:rsidP="006E3233">
            <w:pPr>
              <w:rPr>
                <w:rFonts w:ascii="Times New Roman" w:hAnsi="Times New Roman" w:cs="Times New Roman"/>
                <w:sz w:val="20"/>
                <w:szCs w:val="20"/>
                <w:lang w:val="bg"/>
              </w:rPr>
            </w:pPr>
            <w:r w:rsidRPr="00D13962">
              <w:rPr>
                <w:rFonts w:ascii="Times New Roman" w:hAnsi="Times New Roman" w:cs="Times New Roman"/>
                <w:sz w:val="20"/>
                <w:szCs w:val="20"/>
                <w:lang w:val="bg"/>
              </w:rPr>
              <w:t>9. въвеждане на правила за гарантиране на равно и недискриминационно третиране на потребителите, участващи в общността за възобновяема енергия.</w:t>
            </w:r>
          </w:p>
        </w:tc>
      </w:tr>
    </w:tbl>
    <w:p w:rsidR="00FA57D1" w:rsidRDefault="00FA57D1" w:rsidP="00FA57D1">
      <w:pPr>
        <w:rPr>
          <w:rFonts w:ascii="Times New Roman" w:hAnsi="Times New Roman" w:cs="Times New Roman"/>
          <w:sz w:val="24"/>
          <w:szCs w:val="24"/>
          <w:lang w:val="bg"/>
        </w:rPr>
      </w:pPr>
    </w:p>
    <w:p w:rsidR="00FA57D1" w:rsidRDefault="00FA57D1" w:rsidP="00FA57D1">
      <w:pPr>
        <w:rPr>
          <w:rFonts w:ascii="Times New Roman" w:hAnsi="Times New Roman" w:cs="Times New Roman"/>
          <w:sz w:val="24"/>
          <w:szCs w:val="24"/>
          <w:lang w:val="bg"/>
        </w:rPr>
      </w:pPr>
    </w:p>
    <w:p w:rsidR="007906A8" w:rsidRDefault="007906A8" w:rsidP="00FA57D1">
      <w:pPr>
        <w:spacing w:line="276" w:lineRule="auto"/>
        <w:jc w:val="both"/>
        <w:rPr>
          <w:rFonts w:ascii="Times New Roman" w:hAnsi="Times New Roman" w:cs="Times New Roman"/>
          <w:sz w:val="24"/>
          <w:szCs w:val="24"/>
          <w:lang w:val="bg"/>
        </w:rPr>
      </w:pPr>
      <w:r w:rsidRPr="00837E73">
        <w:rPr>
          <w:rFonts w:ascii="Times New Roman" w:hAnsi="Times New Roman" w:cs="Times New Roman"/>
          <w:sz w:val="24"/>
          <w:szCs w:val="24"/>
          <w:lang w:val="bg"/>
        </w:rPr>
        <w:t xml:space="preserve">В българския Закон за енергетиката и </w:t>
      </w:r>
      <w:r w:rsidRPr="00837E73">
        <w:rPr>
          <w:rFonts w:ascii="Times New Roman" w:hAnsi="Times New Roman" w:cs="Times New Roman"/>
          <w:sz w:val="24"/>
          <w:szCs w:val="24"/>
          <w:lang w:val="bg-BG"/>
        </w:rPr>
        <w:t>ЗЕВИ</w:t>
      </w:r>
      <w:r w:rsidRPr="00837E73">
        <w:rPr>
          <w:rFonts w:ascii="Times New Roman" w:hAnsi="Times New Roman" w:cs="Times New Roman"/>
          <w:sz w:val="24"/>
          <w:szCs w:val="24"/>
          <w:lang w:val="bg"/>
        </w:rPr>
        <w:t xml:space="preserve"> бяха избегнати и незначителните разлики между </w:t>
      </w:r>
      <w:r w:rsidRPr="00837E73">
        <w:rPr>
          <w:rFonts w:ascii="Times New Roman" w:hAnsi="Times New Roman" w:cs="Times New Roman"/>
          <w:sz w:val="24"/>
          <w:szCs w:val="24"/>
        </w:rPr>
        <w:t>CEC</w:t>
      </w:r>
      <w:r w:rsidRPr="00837E73">
        <w:rPr>
          <w:rFonts w:ascii="Times New Roman" w:hAnsi="Times New Roman" w:cs="Times New Roman"/>
          <w:sz w:val="24"/>
          <w:szCs w:val="24"/>
          <w:lang w:val="bg"/>
        </w:rPr>
        <w:t xml:space="preserve"> и </w:t>
      </w:r>
      <w:r w:rsidRPr="00837E73">
        <w:rPr>
          <w:rFonts w:ascii="Times New Roman" w:hAnsi="Times New Roman" w:cs="Times New Roman"/>
          <w:sz w:val="24"/>
          <w:szCs w:val="24"/>
        </w:rPr>
        <w:t>REC</w:t>
      </w:r>
      <w:r w:rsidRPr="00837E73">
        <w:rPr>
          <w:rFonts w:ascii="Times New Roman" w:hAnsi="Times New Roman" w:cs="Times New Roman"/>
          <w:sz w:val="24"/>
          <w:szCs w:val="24"/>
          <w:lang w:val="bg"/>
        </w:rPr>
        <w:t>, които съществуват съгласно определенията в директиви (ЕС) 2019/944 и (ЕС) 2018/200. В</w:t>
      </w:r>
      <w:hyperlink w:anchor="bookmark355" w:tooltip="Current Document">
        <w:r w:rsidRPr="00837E73">
          <w:rPr>
            <w:rStyle w:val="Hyperlink"/>
            <w:rFonts w:ascii="Times New Roman" w:hAnsi="Times New Roman" w:cs="Times New Roman"/>
            <w:sz w:val="24"/>
            <w:szCs w:val="24"/>
            <w:lang w:val="bg"/>
          </w:rPr>
          <w:t xml:space="preserve"> таблица 2</w:t>
        </w:r>
      </w:hyperlink>
      <w:r w:rsidRPr="00837E73">
        <w:rPr>
          <w:rFonts w:ascii="Times New Roman" w:hAnsi="Times New Roman" w:cs="Times New Roman"/>
          <w:sz w:val="24"/>
          <w:szCs w:val="24"/>
          <w:lang w:val="bg"/>
        </w:rPr>
        <w:t xml:space="preserve"> е направено сравнение на основните реквизити в определенията за CEC и REC, както са записани в допълнителните разпоредби на EA и ERSA. Тези реквизити напълно съвпадат. Тази съгласуваност позволява предложението ЦИК и РЕЦ да бъдат регистрирани в единен национален държавен регистър, наречен "Регистър на гражданските енергийни общности и общностите за възобновяема енергия в България".</w:t>
      </w:r>
    </w:p>
    <w:p w:rsidR="000E257F" w:rsidRPr="00837E73" w:rsidRDefault="000E257F" w:rsidP="00FA57D1">
      <w:pPr>
        <w:spacing w:line="276" w:lineRule="auto"/>
        <w:jc w:val="both"/>
        <w:rPr>
          <w:rFonts w:ascii="Times New Roman" w:hAnsi="Times New Roman" w:cs="Times New Roman"/>
          <w:sz w:val="24"/>
          <w:szCs w:val="24"/>
          <w:lang w:val="bg"/>
        </w:rPr>
      </w:pPr>
    </w:p>
    <w:p w:rsidR="007906A8" w:rsidRDefault="007906A8" w:rsidP="00CE6D3C">
      <w:pPr>
        <w:pStyle w:val="Heading2"/>
        <w:jc w:val="both"/>
        <w:rPr>
          <w:rFonts w:ascii="Times New Roman" w:hAnsi="Times New Roman" w:cs="Times New Roman"/>
          <w:color w:val="24B1C0"/>
          <w:sz w:val="30"/>
          <w:szCs w:val="30"/>
          <w:lang w:val="bg"/>
        </w:rPr>
      </w:pPr>
      <w:bookmarkStart w:id="209" w:name="bookmark357"/>
      <w:bookmarkStart w:id="210" w:name="bookmark356"/>
      <w:bookmarkStart w:id="211" w:name="_Toc203141297"/>
      <w:r w:rsidRPr="00CE6D3C">
        <w:rPr>
          <w:rFonts w:ascii="Times New Roman" w:hAnsi="Times New Roman" w:cs="Times New Roman"/>
          <w:color w:val="24B1C0"/>
          <w:sz w:val="30"/>
          <w:szCs w:val="30"/>
          <w:lang w:val="bg"/>
        </w:rPr>
        <w:t>5.2 Референтен показател за правната рамка по отношение на регистрите на енергийните общности в 6 държави — членки на ЕС</w:t>
      </w:r>
      <w:bookmarkEnd w:id="209"/>
      <w:bookmarkEnd w:id="210"/>
      <w:bookmarkEnd w:id="211"/>
    </w:p>
    <w:p w:rsidR="00CE6D3C" w:rsidRPr="00CE6D3C" w:rsidRDefault="00CE6D3C" w:rsidP="00CE6D3C">
      <w:pPr>
        <w:rPr>
          <w:lang w:val="bg"/>
        </w:rPr>
      </w:pPr>
    </w:p>
    <w:p w:rsidR="007906A8" w:rsidRPr="006E3233" w:rsidRDefault="007906A8" w:rsidP="006E3233">
      <w:pPr>
        <w:spacing w:line="276" w:lineRule="auto"/>
        <w:jc w:val="both"/>
        <w:rPr>
          <w:rFonts w:ascii="Times New Roman" w:hAnsi="Times New Roman" w:cs="Times New Roman"/>
          <w:sz w:val="24"/>
          <w:szCs w:val="24"/>
          <w:lang w:val="bg"/>
        </w:rPr>
      </w:pPr>
      <w:bookmarkStart w:id="212" w:name="bookmark359"/>
      <w:r w:rsidRPr="006E3233">
        <w:rPr>
          <w:rFonts w:ascii="Times New Roman" w:hAnsi="Times New Roman" w:cs="Times New Roman"/>
          <w:sz w:val="24"/>
          <w:szCs w:val="24"/>
          <w:lang w:val="bg"/>
        </w:rPr>
        <w:t>Като част от работата по проекта беше проведено кратко проучване на правната рамка, свързана с енергийните общности и регистрите на енергийните общности в Гърция, Германия, Италия, Франция, Румъния и Австрия. По-долу са представени резултатите от проучването и източниците, от които е получена информацията.</w:t>
      </w:r>
      <w:bookmarkEnd w:id="212"/>
    </w:p>
    <w:p w:rsidR="007906A8" w:rsidRDefault="007906A8" w:rsidP="006E3233">
      <w:pPr>
        <w:pStyle w:val="Heading3"/>
        <w:spacing w:line="276" w:lineRule="auto"/>
        <w:jc w:val="both"/>
        <w:rPr>
          <w:rFonts w:ascii="Times New Roman" w:hAnsi="Times New Roman" w:cs="Times New Roman"/>
          <w:color w:val="24B1C0"/>
          <w:sz w:val="28"/>
          <w:szCs w:val="28"/>
          <w:lang w:val="bg"/>
        </w:rPr>
      </w:pPr>
      <w:bookmarkStart w:id="213" w:name="_Toc203141298"/>
      <w:r w:rsidRPr="006E3233">
        <w:rPr>
          <w:rFonts w:ascii="Times New Roman" w:hAnsi="Times New Roman" w:cs="Times New Roman"/>
          <w:noProof/>
          <w:color w:val="24B1C0"/>
          <w:sz w:val="28"/>
          <w:szCs w:val="28"/>
          <w:lang w:val="bg-BG" w:eastAsia="bg-BG"/>
        </w:rPr>
        <w:drawing>
          <wp:anchor distT="0" distB="0" distL="114300" distR="114300" simplePos="0" relativeHeight="251680768" behindDoc="0" locked="0" layoutInCell="1" allowOverlap="1" wp14:anchorId="7B0AE406" wp14:editId="6BDAC23F">
            <wp:simplePos x="0" y="0"/>
            <wp:positionH relativeFrom="page">
              <wp:posOffset>5844540</wp:posOffset>
            </wp:positionH>
            <wp:positionV relativeFrom="paragraph">
              <wp:posOffset>215900</wp:posOffset>
            </wp:positionV>
            <wp:extent cx="895985" cy="895985"/>
            <wp:effectExtent l="0" t="0" r="0" b="0"/>
            <wp:wrapSquare wrapText="left"/>
            <wp:docPr id="179" name="Форма 179"/>
            <wp:cNvGraphicFramePr/>
            <a:graphic xmlns:a="http://schemas.openxmlformats.org/drawingml/2006/main">
              <a:graphicData uri="http://schemas.openxmlformats.org/drawingml/2006/picture">
                <pic:pic xmlns:pic="http://schemas.openxmlformats.org/drawingml/2006/picture">
                  <pic:nvPicPr>
                    <pic:cNvPr id="180" name="Кутия за снимки 180"/>
                    <pic:cNvPicPr/>
                  </pic:nvPicPr>
                  <pic:blipFill>
                    <a:blip r:embed="rId35"/>
                    <a:stretch/>
                  </pic:blipFill>
                  <pic:spPr>
                    <a:xfrm>
                      <a:off x="0" y="0"/>
                      <a:ext cx="895985" cy="895985"/>
                    </a:xfrm>
                    <a:prstGeom prst="rect">
                      <a:avLst/>
                    </a:prstGeom>
                  </pic:spPr>
                </pic:pic>
              </a:graphicData>
            </a:graphic>
          </wp:anchor>
        </w:drawing>
      </w:r>
      <w:bookmarkStart w:id="214" w:name="bookmark360"/>
      <w:r w:rsidR="006E3233" w:rsidRPr="006E3233">
        <w:rPr>
          <w:rFonts w:ascii="Times New Roman" w:hAnsi="Times New Roman" w:cs="Times New Roman"/>
          <w:color w:val="24B1C0"/>
          <w:sz w:val="28"/>
          <w:szCs w:val="28"/>
          <w:lang w:val="bg"/>
        </w:rPr>
        <w:t>5.2.1</w:t>
      </w:r>
      <w:r w:rsidR="006E3233">
        <w:rPr>
          <w:rFonts w:ascii="Times New Roman" w:hAnsi="Times New Roman" w:cs="Times New Roman"/>
          <w:color w:val="24B1C0"/>
          <w:sz w:val="28"/>
          <w:szCs w:val="28"/>
          <w:lang w:val="bg"/>
        </w:rPr>
        <w:t xml:space="preserve"> </w:t>
      </w:r>
      <w:r w:rsidRPr="006E3233">
        <w:rPr>
          <w:rFonts w:ascii="Times New Roman" w:hAnsi="Times New Roman" w:cs="Times New Roman"/>
          <w:color w:val="24B1C0"/>
          <w:sz w:val="28"/>
          <w:szCs w:val="28"/>
          <w:lang w:val="bg"/>
        </w:rPr>
        <w:t>Гърция</w:t>
      </w:r>
      <w:bookmarkEnd w:id="213"/>
      <w:bookmarkEnd w:id="214"/>
    </w:p>
    <w:p w:rsidR="00CE6D3C" w:rsidRPr="00CE6D3C" w:rsidRDefault="00CE6D3C" w:rsidP="00CE6D3C">
      <w:pPr>
        <w:rPr>
          <w:lang w:val="bg"/>
        </w:rPr>
      </w:pP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В Гърция енергийните общности се регистрират предимно чрез Общия търговски регистър (GEMI). GEMI упражнява надзор върху Националния регистър на РИО и ЦИО, където тези субекти трябва да представят своите устави и съответните подробности, за да получат правно признаване.</w:t>
      </w:r>
      <w:hyperlink w:anchor="bookmark54" w:tooltip="Current Document">
        <w:r w:rsidRPr="00F015E5">
          <w:rPr>
            <w:rStyle w:val="Hyperlink"/>
            <w:rFonts w:ascii="Times New Roman" w:hAnsi="Times New Roman" w:cs="Times New Roman"/>
            <w:sz w:val="24"/>
            <w:szCs w:val="24"/>
            <w:vertAlign w:val="superscript"/>
            <w:lang w:val="bg"/>
          </w:rPr>
          <w:footnoteReference w:id="48"/>
        </w:r>
      </w:hyperlink>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Към ноември 2022 г. в Гърция е имало 1406 активни енергийни общности, създадени съгласно Закон 4513/2018. Въпреки това законодателните промени през март 2023 г., по-специално Закон 5037/2023, въведоха нови определения за REC и CEC, като ефективно премахнаха създаването на нови енергийни общности съгласно предишния закон. Следователно от 1 април 2023 г. трябва да се създадат нови енергийни общности съгласно актуализираната правна рамка.</w:t>
      </w:r>
    </w:p>
    <w:p w:rsidR="007906A8" w:rsidRPr="006E3233" w:rsidRDefault="007906A8" w:rsidP="006E3233">
      <w:pPr>
        <w:spacing w:line="276" w:lineRule="auto"/>
        <w:jc w:val="both"/>
        <w:rPr>
          <w:rFonts w:ascii="Times New Roman" w:hAnsi="Times New Roman" w:cs="Times New Roman"/>
          <w:sz w:val="24"/>
          <w:szCs w:val="24"/>
          <w:lang w:val="bg"/>
        </w:rPr>
      </w:pPr>
      <w:r w:rsidRPr="006E3233">
        <w:rPr>
          <w:rFonts w:ascii="Times New Roman" w:hAnsi="Times New Roman" w:cs="Times New Roman"/>
          <w:sz w:val="24"/>
          <w:szCs w:val="24"/>
          <w:lang w:val="bg"/>
        </w:rPr>
        <w:t>За тези, които се интересуват от формирането на енергийна общност в Гърция, е от съществено значение да следват правните и административните процедури, очертани в действащото законодателство. На разположение е практическо ръководство, в коетоподробно се описват тези стъпки, включително изготвянето на правни статути, представянето на документи на GEMI и други основополагащи действия, за да се подпомогнат бъдещите енергийни общности.</w:t>
      </w:r>
      <w:hyperlink w:anchor="bookmark55" w:tooltip="Current Document">
        <w:r w:rsidRPr="00F015E5">
          <w:rPr>
            <w:rStyle w:val="Hyperlink"/>
            <w:rFonts w:ascii="Times New Roman" w:hAnsi="Times New Roman" w:cs="Times New Roman"/>
            <w:sz w:val="24"/>
            <w:szCs w:val="24"/>
            <w:vertAlign w:val="superscript"/>
            <w:lang w:val="bg"/>
          </w:rPr>
          <w:footnoteReference w:id="49"/>
        </w:r>
      </w:hyperlink>
    </w:p>
    <w:p w:rsidR="007906A8" w:rsidRDefault="007906A8" w:rsidP="006E3233">
      <w:pPr>
        <w:spacing w:line="276" w:lineRule="auto"/>
        <w:jc w:val="both"/>
        <w:rPr>
          <w:rStyle w:val="Hyperlink"/>
          <w:rFonts w:ascii="Times New Roman" w:hAnsi="Times New Roman" w:cs="Times New Roman"/>
          <w:sz w:val="24"/>
          <w:szCs w:val="24"/>
          <w:vertAlign w:val="superscript"/>
          <w:lang w:val="bg"/>
        </w:rPr>
      </w:pPr>
      <w:r w:rsidRPr="006E3233">
        <w:rPr>
          <w:rFonts w:ascii="Times New Roman" w:hAnsi="Times New Roman" w:cs="Times New Roman"/>
          <w:sz w:val="24"/>
          <w:szCs w:val="24"/>
          <w:lang w:val="bg"/>
        </w:rPr>
        <w:t xml:space="preserve">Освен това хранилището на Европейската комисия за енергийни общности предлага карта, показваща различни енергийни общности в цяла Европа, включително Гърция. Този ресурс предоставя информация за съществуващи проекти и може да послужи като вдъхновение за </w:t>
      </w:r>
      <w:r w:rsidRPr="006E3233">
        <w:rPr>
          <w:rFonts w:ascii="Times New Roman" w:hAnsi="Times New Roman" w:cs="Times New Roman"/>
          <w:sz w:val="24"/>
          <w:szCs w:val="24"/>
          <w:lang w:val="bg"/>
        </w:rPr>
        <w:lastRenderedPageBreak/>
        <w:t>нови инициативи. За най-актуалната информация и насоки се препоръчва да се направи справка с официалния уебсайт на GEMI или да се осъществи контакт с местните органи, тъй като те могат да предоставят актуална информация относно процесите на регистрация и законодателните</w:t>
      </w:r>
      <w:r w:rsidR="006E3233">
        <w:rPr>
          <w:rFonts w:ascii="Times New Roman" w:hAnsi="Times New Roman" w:cs="Times New Roman"/>
          <w:sz w:val="24"/>
          <w:szCs w:val="24"/>
          <w:lang w:val="bg"/>
        </w:rPr>
        <w:t xml:space="preserve"> </w:t>
      </w:r>
      <w:r w:rsidRPr="006E3233">
        <w:rPr>
          <w:rFonts w:ascii="Times New Roman" w:hAnsi="Times New Roman" w:cs="Times New Roman"/>
          <w:sz w:val="24"/>
          <w:szCs w:val="24"/>
          <w:lang w:val="bg"/>
        </w:rPr>
        <w:t>изисквания.</w:t>
      </w:r>
      <w:r w:rsidR="006E3233" w:rsidRPr="006E3233">
        <w:rPr>
          <w:rFonts w:ascii="Times New Roman" w:hAnsi="Times New Roman" w:cs="Times New Roman"/>
          <w:sz w:val="24"/>
          <w:szCs w:val="24"/>
        </w:rPr>
        <w:t xml:space="preserve"> </w:t>
      </w:r>
      <w:hyperlink w:anchor="bookmark56" w:tooltip="Current Document">
        <w:r w:rsidR="006E3233" w:rsidRPr="00F015E5">
          <w:rPr>
            <w:rStyle w:val="Hyperlink"/>
            <w:rFonts w:ascii="Times New Roman" w:hAnsi="Times New Roman" w:cs="Times New Roman"/>
            <w:sz w:val="24"/>
            <w:szCs w:val="24"/>
            <w:vertAlign w:val="superscript"/>
            <w:lang w:val="bg"/>
          </w:rPr>
          <w:footnoteReference w:id="50"/>
        </w:r>
      </w:hyperlink>
    </w:p>
    <w:p w:rsidR="00664C71" w:rsidRDefault="00664C71" w:rsidP="006E3233">
      <w:pPr>
        <w:spacing w:line="276" w:lineRule="auto"/>
        <w:jc w:val="both"/>
        <w:rPr>
          <w:rStyle w:val="Hyperlink"/>
          <w:rFonts w:ascii="Times New Roman" w:hAnsi="Times New Roman" w:cs="Times New Roman"/>
          <w:sz w:val="24"/>
          <w:szCs w:val="24"/>
          <w:vertAlign w:val="superscript"/>
          <w:lang w:val="bg"/>
        </w:rPr>
      </w:pPr>
    </w:p>
    <w:p w:rsidR="00664C71" w:rsidRDefault="00664C71" w:rsidP="006E3233">
      <w:pPr>
        <w:spacing w:line="276" w:lineRule="auto"/>
        <w:jc w:val="both"/>
        <w:rPr>
          <w:rStyle w:val="Hyperlink"/>
          <w:rFonts w:ascii="Times New Roman" w:hAnsi="Times New Roman" w:cs="Times New Roman"/>
          <w:sz w:val="24"/>
          <w:szCs w:val="24"/>
          <w:vertAlign w:val="superscript"/>
          <w:lang w:val="bg"/>
        </w:rPr>
      </w:pPr>
    </w:p>
    <w:p w:rsidR="00664C71" w:rsidRDefault="00664C71" w:rsidP="006E3233">
      <w:pPr>
        <w:spacing w:line="276" w:lineRule="auto"/>
        <w:jc w:val="both"/>
        <w:rPr>
          <w:rFonts w:ascii="Times New Roman" w:hAnsi="Times New Roman" w:cs="Times New Roman"/>
          <w:sz w:val="24"/>
          <w:szCs w:val="24"/>
          <w:lang w:val="bg"/>
        </w:rPr>
      </w:pPr>
    </w:p>
    <w:p w:rsidR="00664C71" w:rsidRPr="006E3233" w:rsidRDefault="00664C71" w:rsidP="006E3233">
      <w:pPr>
        <w:spacing w:line="276" w:lineRule="auto"/>
        <w:jc w:val="both"/>
        <w:rPr>
          <w:rFonts w:ascii="Times New Roman" w:hAnsi="Times New Roman" w:cs="Times New Roman"/>
          <w:sz w:val="24"/>
          <w:szCs w:val="24"/>
          <w:lang w:val="bg"/>
        </w:rPr>
      </w:pPr>
    </w:p>
    <w:p w:rsidR="007906A8" w:rsidRDefault="001B0EAC" w:rsidP="001B0EAC">
      <w:pPr>
        <w:pStyle w:val="Heading3"/>
        <w:spacing w:line="276" w:lineRule="auto"/>
        <w:jc w:val="both"/>
        <w:rPr>
          <w:rFonts w:ascii="Times New Roman" w:hAnsi="Times New Roman" w:cs="Times New Roman"/>
          <w:color w:val="24B1C0"/>
          <w:sz w:val="28"/>
          <w:szCs w:val="28"/>
          <w:lang w:val="bg"/>
        </w:rPr>
      </w:pPr>
      <w:bookmarkStart w:id="218" w:name="bookmark363"/>
      <w:bookmarkStart w:id="219" w:name="bookmark362"/>
      <w:bookmarkStart w:id="220" w:name="_Toc203141299"/>
      <w:r w:rsidRPr="001B0EAC">
        <w:rPr>
          <w:rFonts w:ascii="Times New Roman" w:hAnsi="Times New Roman" w:cs="Times New Roman"/>
          <w:color w:val="24B1C0"/>
          <w:sz w:val="28"/>
          <w:szCs w:val="28"/>
          <w:lang w:val="bg"/>
        </w:rPr>
        <w:t xml:space="preserve">5.2.2 </w:t>
      </w:r>
      <w:r w:rsidR="007906A8" w:rsidRPr="001B0EAC">
        <w:rPr>
          <w:rFonts w:ascii="Times New Roman" w:hAnsi="Times New Roman" w:cs="Times New Roman"/>
          <w:color w:val="24B1C0"/>
          <w:sz w:val="28"/>
          <w:szCs w:val="28"/>
          <w:lang w:val="bg"/>
        </w:rPr>
        <w:t>Германия</w:t>
      </w:r>
      <w:bookmarkEnd w:id="218"/>
      <w:bookmarkEnd w:id="219"/>
      <w:bookmarkEnd w:id="220"/>
    </w:p>
    <w:p w:rsidR="00CE6D3C" w:rsidRPr="00CE6D3C" w:rsidRDefault="00CE6D3C" w:rsidP="00CE6D3C">
      <w:pPr>
        <w:rPr>
          <w:lang w:val="bg"/>
        </w:rPr>
      </w:pPr>
    </w:p>
    <w:p w:rsidR="007906A8" w:rsidRP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noProof/>
          <w:sz w:val="24"/>
          <w:szCs w:val="24"/>
          <w:lang w:val="bg-BG" w:eastAsia="bg-BG"/>
        </w:rPr>
        <w:drawing>
          <wp:anchor distT="0" distB="0" distL="114300" distR="114300" simplePos="0" relativeHeight="251681792" behindDoc="0" locked="0" layoutInCell="1" allowOverlap="1" wp14:anchorId="425AE5B2" wp14:editId="342AAC6A">
            <wp:simplePos x="0" y="0"/>
            <wp:positionH relativeFrom="page">
              <wp:posOffset>5864860</wp:posOffset>
            </wp:positionH>
            <wp:positionV relativeFrom="paragraph">
              <wp:posOffset>25400</wp:posOffset>
            </wp:positionV>
            <wp:extent cx="890270" cy="890270"/>
            <wp:effectExtent l="0" t="0" r="0" b="0"/>
            <wp:wrapSquare wrapText="left"/>
            <wp:docPr id="181" name="Форма 181"/>
            <wp:cNvGraphicFramePr/>
            <a:graphic xmlns:a="http://schemas.openxmlformats.org/drawingml/2006/main">
              <a:graphicData uri="http://schemas.openxmlformats.org/drawingml/2006/picture">
                <pic:pic xmlns:pic="http://schemas.openxmlformats.org/drawingml/2006/picture">
                  <pic:nvPicPr>
                    <pic:cNvPr id="182" name="Кутия за снимки 182"/>
                    <pic:cNvPicPr/>
                  </pic:nvPicPr>
                  <pic:blipFill>
                    <a:blip r:embed="rId36"/>
                    <a:stretch/>
                  </pic:blipFill>
                  <pic:spPr>
                    <a:xfrm>
                      <a:off x="0" y="0"/>
                      <a:ext cx="890270" cy="890270"/>
                    </a:xfrm>
                    <a:prstGeom prst="rect">
                      <a:avLst/>
                    </a:prstGeom>
                  </pic:spPr>
                </pic:pic>
              </a:graphicData>
            </a:graphic>
          </wp:anchor>
        </w:drawing>
      </w:r>
      <w:r w:rsidRPr="001B0EAC">
        <w:rPr>
          <w:rFonts w:ascii="Times New Roman" w:hAnsi="Times New Roman" w:cs="Times New Roman"/>
          <w:sz w:val="24"/>
          <w:szCs w:val="24"/>
          <w:lang w:val="bg"/>
        </w:rPr>
        <w:t>В Германия енергийните общности — колективни инициативи, при които гражданите съвместно генерират и потребяват енергия — са организирани предимно като кооперации („Genossenschaften“). За да се формализира такова предприятие, е от съществено значение да се регистрирате като член на асоциация за задължителен одит ("Genossenschaftsverband") в съотве</w:t>
      </w:r>
      <w:r w:rsidR="001B0EAC" w:rsidRPr="001B0EAC">
        <w:rPr>
          <w:rFonts w:ascii="Times New Roman" w:hAnsi="Times New Roman" w:cs="Times New Roman"/>
          <w:sz w:val="24"/>
          <w:szCs w:val="24"/>
          <w:lang w:val="bg"/>
        </w:rPr>
        <w:t xml:space="preserve">тствие с § 54 от </w:t>
      </w:r>
      <w:r w:rsidRPr="001B0EAC">
        <w:rPr>
          <w:rFonts w:ascii="Times New Roman" w:hAnsi="Times New Roman" w:cs="Times New Roman"/>
          <w:sz w:val="24"/>
          <w:szCs w:val="24"/>
          <w:lang w:val="bg"/>
        </w:rPr>
        <w:t>Genossenschaftsgesetz (GenG) 2020 г. Тази регистрация гарантира спазването на правните стандарти и осигурява рамка за съвместни операции.</w:t>
      </w:r>
      <w:hyperlink w:anchor="bookmark57" w:tooltip="Current Document">
        <w:r w:rsidRPr="00F015E5">
          <w:rPr>
            <w:rStyle w:val="Hyperlink"/>
            <w:rFonts w:ascii="Times New Roman" w:hAnsi="Times New Roman" w:cs="Times New Roman"/>
            <w:sz w:val="24"/>
            <w:szCs w:val="24"/>
            <w:vertAlign w:val="superscript"/>
            <w:lang w:val="bg"/>
          </w:rPr>
          <w:footnoteReference w:id="51"/>
        </w:r>
      </w:hyperlink>
    </w:p>
    <w:p w:rsidR="007906A8" w:rsidRP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sz w:val="24"/>
          <w:szCs w:val="24"/>
          <w:lang w:val="bg"/>
        </w:rPr>
        <w:t>Освен кооперативната регистрация, всички участници на германските пазари на електроенергия и газ са задължени да се регистрират в регистъра на основните данни за енергийния пазар („Marktstammdatenregister“). Този изчерпателен официален регистър, управляван от Bundesnetzagentur (Федералната мрежова агенция), служи като централизирана база данни за участниците на енергийния пазар и техните инсталации. Процесът на регистрация се улеснява чрез онлайн портал, достъпен чрез</w:t>
      </w:r>
      <w:hyperlink r:id="rId37" w:history="1"/>
      <w:r w:rsidRPr="001B0EAC">
        <w:rPr>
          <w:rFonts w:ascii="Times New Roman" w:hAnsi="Times New Roman" w:cs="Times New Roman"/>
          <w:sz w:val="24"/>
          <w:szCs w:val="24"/>
          <w:lang w:val="bg"/>
        </w:rPr>
        <w:t xml:space="preserve"> Marktstammdatenregister</w:t>
      </w:r>
      <w:r w:rsidR="001B0EAC">
        <w:rPr>
          <w:rFonts w:ascii="Times New Roman" w:hAnsi="Times New Roman" w:cs="Times New Roman"/>
          <w:sz w:val="24"/>
          <w:szCs w:val="24"/>
          <w:lang w:val="bg"/>
        </w:rPr>
        <w:t xml:space="preserve"> </w:t>
      </w:r>
      <w:hyperlink w:anchor="bookmark58" w:tooltip="Current Document">
        <w:r w:rsidRPr="00F015E5">
          <w:rPr>
            <w:rStyle w:val="Hyperlink"/>
            <w:rFonts w:ascii="Times New Roman" w:hAnsi="Times New Roman" w:cs="Times New Roman"/>
            <w:sz w:val="24"/>
            <w:szCs w:val="24"/>
            <w:vertAlign w:val="superscript"/>
            <w:lang w:val="bg"/>
          </w:rPr>
          <w:footnoteReference w:id="52"/>
        </w:r>
      </w:hyperlink>
      <w:r w:rsidRPr="00F015E5">
        <w:rPr>
          <w:rFonts w:ascii="Times New Roman" w:hAnsi="Times New Roman" w:cs="Times New Roman"/>
          <w:sz w:val="24"/>
          <w:szCs w:val="24"/>
          <w:vertAlign w:val="superscript"/>
          <w:lang w:val="bg"/>
        </w:rPr>
        <w:t>.</w:t>
      </w:r>
      <w:r w:rsidRPr="001B0EAC">
        <w:rPr>
          <w:rFonts w:ascii="Times New Roman" w:hAnsi="Times New Roman" w:cs="Times New Roman"/>
          <w:sz w:val="24"/>
          <w:szCs w:val="24"/>
          <w:lang w:val="bg"/>
        </w:rPr>
        <w:t xml:space="preserve"> Тази платформа консолидира данните с цел повишаване на прозрачността и рационализиране на свързаните с енергетиката процеси в цялата страна.</w:t>
      </w:r>
      <w:hyperlink w:anchor="bookmark59" w:tooltip="Current Document">
        <w:r w:rsidRPr="001B0EAC">
          <w:rPr>
            <w:rStyle w:val="Hyperlink"/>
            <w:rFonts w:ascii="Times New Roman" w:hAnsi="Times New Roman" w:cs="Times New Roman"/>
            <w:sz w:val="24"/>
            <w:szCs w:val="24"/>
            <w:lang w:val="bg"/>
          </w:rPr>
          <w:footnoteReference w:id="53"/>
        </w:r>
      </w:hyperlink>
      <w:r w:rsidRPr="001B0EAC">
        <w:rPr>
          <w:rFonts w:ascii="Times New Roman" w:hAnsi="Times New Roman" w:cs="Times New Roman"/>
          <w:sz w:val="24"/>
          <w:szCs w:val="24"/>
          <w:lang w:val="bg"/>
        </w:rPr>
        <w:t xml:space="preserve"> </w:t>
      </w:r>
    </w:p>
    <w:p w:rsid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sz w:val="24"/>
          <w:szCs w:val="24"/>
          <w:lang w:val="bg"/>
        </w:rPr>
        <w:t>Важно е да се отбележи, че енергийните общности в Германия са предмет както на националните разпоредби, така и на разпоредбите на Европейския съюз. Законът за възобновяемите енергийни източници („Erneuerbare-Energien- Gesetz“ или EEG) играе ключова роля в оформянето на националната правна среда за тези общности. Освен това директивите на ЕС, като например Директивата за енергията от възобновяеми източници II (RED II), оказват влияние върху оперативните и правните рамки на енергийните общности, като насърчават приемането на енергия от възобновяеми източници и участието на гражданите в държавите членки.</w:t>
      </w:r>
      <w:hyperlink w:anchor="bookmark60" w:tooltip="Current Document">
        <w:r w:rsidRPr="00F015E5">
          <w:rPr>
            <w:rStyle w:val="Hyperlink"/>
            <w:rFonts w:ascii="Times New Roman" w:hAnsi="Times New Roman" w:cs="Times New Roman"/>
            <w:sz w:val="24"/>
            <w:szCs w:val="24"/>
            <w:vertAlign w:val="superscript"/>
            <w:lang w:val="bg"/>
          </w:rPr>
          <w:footnoteReference w:id="54"/>
        </w:r>
      </w:hyperlink>
      <w:r w:rsidRPr="001B0EAC">
        <w:rPr>
          <w:rFonts w:ascii="Times New Roman" w:hAnsi="Times New Roman" w:cs="Times New Roman"/>
          <w:sz w:val="24"/>
          <w:szCs w:val="24"/>
          <w:lang w:val="bg"/>
        </w:rPr>
        <w:t xml:space="preserve"> За тези, които се интересуват от създаване или участие в енергийна общност в Германия, е препоръчително да се консултират с правни експерти, запознати с кооперативното право и енергийните разпоредби. Ангажирането със </w:t>
      </w:r>
      <w:r w:rsidRPr="001B0EAC">
        <w:rPr>
          <w:rFonts w:ascii="Times New Roman" w:hAnsi="Times New Roman" w:cs="Times New Roman"/>
          <w:sz w:val="24"/>
          <w:szCs w:val="24"/>
          <w:lang w:val="bg"/>
        </w:rPr>
        <w:lastRenderedPageBreak/>
        <w:t>съществуващите енергийни кооперации може също така да предостави практическа информация и насоки относно най-добрите практики в този сектор.</w:t>
      </w:r>
      <w:hyperlink w:anchor="bookmark61" w:tooltip="Current Document">
        <w:r w:rsidRPr="00F015E5">
          <w:rPr>
            <w:rStyle w:val="Hyperlink"/>
            <w:rFonts w:ascii="Times New Roman" w:hAnsi="Times New Roman" w:cs="Times New Roman"/>
            <w:sz w:val="24"/>
            <w:szCs w:val="24"/>
            <w:vertAlign w:val="superscript"/>
            <w:lang w:val="bg"/>
          </w:rPr>
          <w:footnoteReference w:id="55"/>
        </w:r>
      </w:hyperlink>
    </w:p>
    <w:p w:rsidR="007906A8" w:rsidRDefault="007906A8" w:rsidP="001B0EAC">
      <w:pPr>
        <w:pStyle w:val="Heading3"/>
        <w:spacing w:line="276" w:lineRule="auto"/>
        <w:jc w:val="both"/>
        <w:rPr>
          <w:rFonts w:ascii="Times New Roman" w:hAnsi="Times New Roman" w:cs="Times New Roman"/>
          <w:color w:val="24B1C0"/>
          <w:sz w:val="28"/>
          <w:szCs w:val="28"/>
          <w:lang w:val="bg"/>
        </w:rPr>
      </w:pPr>
      <w:bookmarkStart w:id="225" w:name="_Toc203141300"/>
      <w:r w:rsidRPr="001B0EAC">
        <w:rPr>
          <w:noProof/>
          <w:color w:val="24B1C0"/>
          <w:lang w:val="bg-BG" w:eastAsia="bg-BG"/>
        </w:rPr>
        <w:drawing>
          <wp:anchor distT="152400" distB="152400" distL="190500" distR="190500" simplePos="0" relativeHeight="251682816" behindDoc="0" locked="0" layoutInCell="1" allowOverlap="1" wp14:anchorId="642534AC" wp14:editId="0262A658">
            <wp:simplePos x="0" y="0"/>
            <wp:positionH relativeFrom="page">
              <wp:posOffset>5844540</wp:posOffset>
            </wp:positionH>
            <wp:positionV relativeFrom="paragraph">
              <wp:posOffset>254000</wp:posOffset>
            </wp:positionV>
            <wp:extent cx="890270" cy="890270"/>
            <wp:effectExtent l="0" t="0" r="0" b="0"/>
            <wp:wrapSquare wrapText="left"/>
            <wp:docPr id="183" name="Форма 183"/>
            <wp:cNvGraphicFramePr/>
            <a:graphic xmlns:a="http://schemas.openxmlformats.org/drawingml/2006/main">
              <a:graphicData uri="http://schemas.openxmlformats.org/drawingml/2006/picture">
                <pic:pic xmlns:pic="http://schemas.openxmlformats.org/drawingml/2006/picture">
                  <pic:nvPicPr>
                    <pic:cNvPr id="184" name="Кутия за снимки 184"/>
                    <pic:cNvPicPr/>
                  </pic:nvPicPr>
                  <pic:blipFill>
                    <a:blip r:embed="rId38"/>
                    <a:stretch/>
                  </pic:blipFill>
                  <pic:spPr>
                    <a:xfrm>
                      <a:off x="0" y="0"/>
                      <a:ext cx="890270" cy="890270"/>
                    </a:xfrm>
                    <a:prstGeom prst="rect">
                      <a:avLst/>
                    </a:prstGeom>
                  </pic:spPr>
                </pic:pic>
              </a:graphicData>
            </a:graphic>
          </wp:anchor>
        </w:drawing>
      </w:r>
      <w:bookmarkStart w:id="226" w:name="bookmark366"/>
      <w:bookmarkStart w:id="227" w:name="bookmark365"/>
      <w:r w:rsidR="001B0EAC" w:rsidRPr="001B0EAC">
        <w:rPr>
          <w:rFonts w:ascii="Times New Roman" w:hAnsi="Times New Roman" w:cs="Times New Roman"/>
          <w:color w:val="24B1C0"/>
          <w:sz w:val="28"/>
          <w:szCs w:val="28"/>
          <w:lang w:val="bg"/>
        </w:rPr>
        <w:t xml:space="preserve">5.2.3 </w:t>
      </w:r>
      <w:r w:rsidRPr="001B0EAC">
        <w:rPr>
          <w:rFonts w:ascii="Times New Roman" w:hAnsi="Times New Roman" w:cs="Times New Roman"/>
          <w:color w:val="24B1C0"/>
          <w:sz w:val="28"/>
          <w:szCs w:val="28"/>
          <w:lang w:val="bg"/>
        </w:rPr>
        <w:t>Франция</w:t>
      </w:r>
      <w:bookmarkEnd w:id="225"/>
      <w:bookmarkEnd w:id="226"/>
      <w:bookmarkEnd w:id="227"/>
    </w:p>
    <w:p w:rsidR="00CE6D3C" w:rsidRPr="00CE6D3C" w:rsidRDefault="00CE6D3C" w:rsidP="00CE6D3C">
      <w:pPr>
        <w:rPr>
          <w:lang w:val="bg"/>
        </w:rPr>
      </w:pPr>
    </w:p>
    <w:p w:rsidR="007906A8" w:rsidRP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sz w:val="24"/>
          <w:szCs w:val="24"/>
          <w:lang w:val="bg"/>
        </w:rPr>
        <w:t>Във Франция енергийните общности са съвместни правни субекти, насочени към производство, потребление и управление на енергията на местно равнище и по устойчив начин. Правната рамка за тези общности беше изяснена с постановление, публикувано в края на 2023 г., в което изрично се определят възможните правни форми и критерии за близост и автономност</w:t>
      </w:r>
      <w:r w:rsidR="001B0EAC">
        <w:rPr>
          <w:rFonts w:ascii="Times New Roman" w:hAnsi="Times New Roman" w:cs="Times New Roman"/>
          <w:sz w:val="24"/>
          <w:szCs w:val="24"/>
          <w:vertAlign w:val="superscript"/>
          <w:lang w:val="bg"/>
        </w:rPr>
        <w:t>62</w:t>
      </w:r>
      <w:r w:rsidRPr="001B0EAC">
        <w:rPr>
          <w:rFonts w:ascii="Times New Roman" w:hAnsi="Times New Roman" w:cs="Times New Roman"/>
          <w:sz w:val="24"/>
          <w:szCs w:val="24"/>
          <w:lang w:val="bg"/>
        </w:rPr>
        <w:t>.</w:t>
      </w:r>
    </w:p>
    <w:p w:rsidR="007906A8" w:rsidRP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sz w:val="24"/>
          <w:szCs w:val="24"/>
          <w:lang w:val="bg"/>
        </w:rPr>
        <w:t>За да се улесни развитието на енергията от възобновяеми източници и определянето на подходящи зони за тяхното изпълнение, Министерството на енергийния преход е създало няколко инструмента:</w:t>
      </w:r>
    </w:p>
    <w:p w:rsidR="00837E73" w:rsidRPr="00F015E5" w:rsidRDefault="00837E73" w:rsidP="00837E73">
      <w:pPr>
        <w:spacing w:line="276" w:lineRule="auto"/>
        <w:jc w:val="both"/>
        <w:rPr>
          <w:rFonts w:ascii="Times New Roman" w:hAnsi="Times New Roman" w:cs="Times New Roman"/>
          <w:sz w:val="24"/>
          <w:szCs w:val="24"/>
          <w:vertAlign w:val="superscript"/>
          <w:lang w:val="bg"/>
        </w:rPr>
      </w:pPr>
      <w:r>
        <w:rPr>
          <w:rFonts w:ascii="Times New Roman" w:hAnsi="Times New Roman" w:cs="Times New Roman"/>
          <w:sz w:val="24"/>
          <w:szCs w:val="24"/>
          <w:lang w:val="bg"/>
        </w:rPr>
        <w:t>1.</w:t>
      </w:r>
      <w:r w:rsidR="007906A8" w:rsidRPr="00837E73">
        <w:rPr>
          <w:rFonts w:ascii="Times New Roman" w:hAnsi="Times New Roman" w:cs="Times New Roman"/>
          <w:b/>
          <w:sz w:val="24"/>
          <w:szCs w:val="24"/>
          <w:lang w:val="bg"/>
        </w:rPr>
        <w:t>Портал за картографиране на енергията от възобновяеми източници</w:t>
      </w:r>
      <w:r w:rsidR="007906A8" w:rsidRPr="00837E73">
        <w:rPr>
          <w:rFonts w:ascii="Times New Roman" w:hAnsi="Times New Roman" w:cs="Times New Roman"/>
          <w:sz w:val="24"/>
          <w:szCs w:val="24"/>
          <w:lang w:val="bg"/>
        </w:rPr>
        <w:t>: Този инструмент помага на общините да определят зони за ускоряване на проекти за енергия от възобновяеми източници на тяхна територия. В него се предоставят обективни и подлежащи на компилиране данни по теми, свързани с енергетиката, във Франция</w:t>
      </w:r>
      <w:r w:rsidR="007906A8" w:rsidRPr="00F015E5">
        <w:rPr>
          <w:rFonts w:ascii="Times New Roman" w:hAnsi="Times New Roman" w:cs="Times New Roman"/>
          <w:color w:val="00B0F0"/>
          <w:sz w:val="24"/>
          <w:szCs w:val="24"/>
          <w:vertAlign w:val="superscript"/>
          <w:lang w:val="bg"/>
        </w:rPr>
        <w:t>.</w:t>
      </w:r>
      <w:r w:rsidR="007906A8" w:rsidRPr="00F015E5">
        <w:rPr>
          <w:color w:val="00B0F0"/>
          <w:vertAlign w:val="superscript"/>
          <w:lang w:val="bg"/>
        </w:rPr>
        <w:footnoteReference w:id="56"/>
      </w:r>
      <w:r w:rsidR="007906A8" w:rsidRPr="00F015E5">
        <w:rPr>
          <w:rFonts w:ascii="Times New Roman" w:hAnsi="Times New Roman" w:cs="Times New Roman"/>
          <w:color w:val="00B0F0"/>
          <w:sz w:val="24"/>
          <w:szCs w:val="24"/>
          <w:vertAlign w:val="superscript"/>
          <w:lang w:val="bg"/>
        </w:rPr>
        <w:t xml:space="preserve"> </w:t>
      </w:r>
      <w:r w:rsidR="007906A8" w:rsidRPr="00F015E5">
        <w:rPr>
          <w:color w:val="00B0F0"/>
          <w:vertAlign w:val="superscript"/>
          <w:lang w:val="bg"/>
        </w:rPr>
        <w:footnoteReference w:id="57"/>
      </w:r>
      <w:r w:rsidR="007906A8" w:rsidRPr="00837E73">
        <w:rPr>
          <w:rFonts w:ascii="Times New Roman" w:hAnsi="Times New Roman" w:cs="Times New Roman"/>
          <w:color w:val="00B0F0"/>
          <w:sz w:val="24"/>
          <w:szCs w:val="24"/>
          <w:lang w:val="bg"/>
        </w:rPr>
        <w:t xml:space="preserve"> </w:t>
      </w:r>
      <w:hyperlink w:anchor="bookmark64" w:tooltip="Current Document">
        <w:r w:rsidR="007906A8" w:rsidRPr="00F015E5">
          <w:rPr>
            <w:rStyle w:val="Hyperlink"/>
            <w:rFonts w:ascii="Times New Roman" w:hAnsi="Times New Roman" w:cs="Times New Roman"/>
            <w:sz w:val="24"/>
            <w:szCs w:val="24"/>
            <w:vertAlign w:val="superscript"/>
            <w:lang w:val="bg"/>
          </w:rPr>
          <w:footnoteReference w:id="58"/>
        </w:r>
      </w:hyperlink>
    </w:p>
    <w:p w:rsidR="007906A8" w:rsidRPr="001B0EAC" w:rsidRDefault="00837E73" w:rsidP="00837E73">
      <w:pPr>
        <w:spacing w:line="276" w:lineRule="auto"/>
        <w:jc w:val="both"/>
        <w:rPr>
          <w:rFonts w:ascii="Times New Roman" w:hAnsi="Times New Roman" w:cs="Times New Roman"/>
          <w:sz w:val="24"/>
          <w:szCs w:val="24"/>
          <w:lang w:val="bg"/>
        </w:rPr>
      </w:pPr>
      <w:r>
        <w:rPr>
          <w:rFonts w:ascii="Times New Roman" w:hAnsi="Times New Roman" w:cs="Times New Roman"/>
          <w:sz w:val="24"/>
          <w:szCs w:val="24"/>
          <w:lang w:val="bg"/>
        </w:rPr>
        <w:t>2.</w:t>
      </w:r>
      <w:r w:rsidR="007906A8" w:rsidRPr="00837E73">
        <w:rPr>
          <w:rFonts w:ascii="Times New Roman" w:hAnsi="Times New Roman" w:cs="Times New Roman"/>
          <w:b/>
          <w:sz w:val="24"/>
          <w:szCs w:val="24"/>
          <w:lang w:val="bg"/>
        </w:rPr>
        <w:t>Национален регистър на съоръженията за производство и съхранение на електроенергия</w:t>
      </w:r>
      <w:r w:rsidR="007906A8" w:rsidRPr="001B0EAC">
        <w:rPr>
          <w:rFonts w:ascii="Times New Roman" w:hAnsi="Times New Roman" w:cs="Times New Roman"/>
          <w:sz w:val="24"/>
          <w:szCs w:val="24"/>
          <w:lang w:val="bg"/>
        </w:rPr>
        <w:t>: Този регистър представя инсталациите, свързани към обществени електроенергийни мрежи, като предлага цялостен поглед върху производството на енергия на територията</w:t>
      </w:r>
      <w:hyperlink w:anchor="bookmark65" w:tooltip="Current Document">
        <w:r w:rsidR="007906A8" w:rsidRPr="00F015E5">
          <w:rPr>
            <w:rStyle w:val="Hyperlink"/>
            <w:rFonts w:ascii="Times New Roman" w:hAnsi="Times New Roman" w:cs="Times New Roman"/>
            <w:sz w:val="24"/>
            <w:szCs w:val="24"/>
            <w:vertAlign w:val="superscript"/>
            <w:lang w:val="bg"/>
          </w:rPr>
          <w:footnoteReference w:id="59"/>
        </w:r>
      </w:hyperlink>
      <w:r w:rsidR="007906A8" w:rsidRPr="001B0EAC">
        <w:rPr>
          <w:rFonts w:ascii="Times New Roman" w:hAnsi="Times New Roman" w:cs="Times New Roman"/>
          <w:sz w:val="24"/>
          <w:szCs w:val="24"/>
          <w:lang w:val="bg"/>
        </w:rPr>
        <w:t>.</w:t>
      </w:r>
    </w:p>
    <w:p w:rsidR="007906A8" w:rsidRPr="001B0EAC" w:rsidRDefault="007906A8" w:rsidP="001B0EAC">
      <w:pPr>
        <w:spacing w:line="276" w:lineRule="auto"/>
        <w:jc w:val="both"/>
        <w:rPr>
          <w:rFonts w:ascii="Times New Roman" w:hAnsi="Times New Roman" w:cs="Times New Roman"/>
          <w:sz w:val="24"/>
          <w:szCs w:val="24"/>
          <w:lang w:val="bg"/>
        </w:rPr>
      </w:pPr>
      <w:r w:rsidRPr="001B0EAC">
        <w:rPr>
          <w:rFonts w:ascii="Times New Roman" w:hAnsi="Times New Roman" w:cs="Times New Roman"/>
          <w:sz w:val="24"/>
          <w:szCs w:val="24"/>
          <w:lang w:val="bg"/>
        </w:rPr>
        <w:t>Тези инструменти са предназначени да подпомагат местните органи и разработчиците на проекти при планирането и разработването на местни енергийни решения в съответствие с националните цели за енергиен преход.</w:t>
      </w:r>
      <w:hyperlink w:anchor="bookmark66" w:tooltip="Current Document">
        <w:r w:rsidRPr="00F015E5">
          <w:rPr>
            <w:rStyle w:val="Hyperlink"/>
            <w:rFonts w:ascii="Times New Roman" w:hAnsi="Times New Roman" w:cs="Times New Roman"/>
            <w:sz w:val="24"/>
            <w:szCs w:val="24"/>
            <w:vertAlign w:val="superscript"/>
            <w:lang w:val="bg"/>
          </w:rPr>
          <w:footnoteReference w:id="60"/>
        </w:r>
      </w:hyperlink>
    </w:p>
    <w:p w:rsidR="007906A8" w:rsidRDefault="007906A8" w:rsidP="00837E73">
      <w:pPr>
        <w:pStyle w:val="Heading3"/>
        <w:rPr>
          <w:rFonts w:ascii="Times New Roman" w:hAnsi="Times New Roman" w:cs="Times New Roman"/>
          <w:color w:val="24B1C0"/>
          <w:sz w:val="28"/>
          <w:szCs w:val="28"/>
          <w:lang w:val="bg"/>
        </w:rPr>
      </w:pPr>
      <w:bookmarkStart w:id="232" w:name="_Toc203141301"/>
      <w:r w:rsidRPr="00523CC8">
        <w:rPr>
          <w:rFonts w:ascii="Times New Roman" w:hAnsi="Times New Roman" w:cs="Times New Roman"/>
          <w:noProof/>
          <w:color w:val="24B1C0"/>
          <w:sz w:val="28"/>
          <w:szCs w:val="28"/>
          <w:lang w:val="bg-BG" w:eastAsia="bg-BG"/>
        </w:rPr>
        <w:drawing>
          <wp:anchor distT="139700" distB="139700" distL="177800" distR="177800" simplePos="0" relativeHeight="251683840" behindDoc="0" locked="0" layoutInCell="1" allowOverlap="1" wp14:anchorId="1D943B1D" wp14:editId="5AAC8367">
            <wp:simplePos x="0" y="0"/>
            <wp:positionH relativeFrom="page">
              <wp:posOffset>5842000</wp:posOffset>
            </wp:positionH>
            <wp:positionV relativeFrom="paragraph">
              <wp:posOffset>279400</wp:posOffset>
            </wp:positionV>
            <wp:extent cx="895985" cy="890270"/>
            <wp:effectExtent l="0" t="0" r="0" b="0"/>
            <wp:wrapSquare wrapText="left"/>
            <wp:docPr id="185" name="Форма 185"/>
            <wp:cNvGraphicFramePr/>
            <a:graphic xmlns:a="http://schemas.openxmlformats.org/drawingml/2006/main">
              <a:graphicData uri="http://schemas.openxmlformats.org/drawingml/2006/picture">
                <pic:pic xmlns:pic="http://schemas.openxmlformats.org/drawingml/2006/picture">
                  <pic:nvPicPr>
                    <pic:cNvPr id="186" name="Кутия за снимки 186"/>
                    <pic:cNvPicPr/>
                  </pic:nvPicPr>
                  <pic:blipFill>
                    <a:blip r:embed="rId39"/>
                    <a:stretch/>
                  </pic:blipFill>
                  <pic:spPr>
                    <a:xfrm>
                      <a:off x="0" y="0"/>
                      <a:ext cx="895985" cy="890270"/>
                    </a:xfrm>
                    <a:prstGeom prst="rect">
                      <a:avLst/>
                    </a:prstGeom>
                  </pic:spPr>
                </pic:pic>
              </a:graphicData>
            </a:graphic>
          </wp:anchor>
        </w:drawing>
      </w:r>
      <w:bookmarkStart w:id="233" w:name="bookmark369"/>
      <w:bookmarkStart w:id="234" w:name="bookmark368"/>
      <w:r w:rsidR="00837E73" w:rsidRPr="00523CC8">
        <w:rPr>
          <w:rFonts w:ascii="Times New Roman" w:hAnsi="Times New Roman" w:cs="Times New Roman"/>
          <w:color w:val="24B1C0"/>
          <w:sz w:val="28"/>
          <w:szCs w:val="28"/>
          <w:lang w:val="bg"/>
        </w:rPr>
        <w:t>5.</w:t>
      </w:r>
      <w:r w:rsidR="00CE6D3C">
        <w:rPr>
          <w:rFonts w:ascii="Times New Roman" w:hAnsi="Times New Roman" w:cs="Times New Roman"/>
          <w:color w:val="24B1C0"/>
          <w:sz w:val="28"/>
          <w:szCs w:val="28"/>
          <w:lang w:val="bg"/>
        </w:rPr>
        <w:t>2</w:t>
      </w:r>
      <w:r w:rsidR="00837E73" w:rsidRPr="00523CC8">
        <w:rPr>
          <w:rFonts w:ascii="Times New Roman" w:hAnsi="Times New Roman" w:cs="Times New Roman"/>
          <w:color w:val="24B1C0"/>
          <w:sz w:val="28"/>
          <w:szCs w:val="28"/>
          <w:lang w:val="bg"/>
        </w:rPr>
        <w:t xml:space="preserve">.4  </w:t>
      </w:r>
      <w:r w:rsidRPr="00523CC8">
        <w:rPr>
          <w:rFonts w:ascii="Times New Roman" w:hAnsi="Times New Roman" w:cs="Times New Roman"/>
          <w:color w:val="24B1C0"/>
          <w:sz w:val="28"/>
          <w:szCs w:val="28"/>
          <w:lang w:val="bg"/>
        </w:rPr>
        <w:t>Италия</w:t>
      </w:r>
      <w:bookmarkEnd w:id="232"/>
      <w:bookmarkEnd w:id="233"/>
      <w:bookmarkEnd w:id="234"/>
    </w:p>
    <w:p w:rsidR="00CE6D3C" w:rsidRPr="00CE6D3C" w:rsidRDefault="00CE6D3C" w:rsidP="00CE6D3C">
      <w:pPr>
        <w:rPr>
          <w:lang w:val="bg"/>
        </w:rPr>
      </w:pP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В Италия развитието на РИО беше активно насърчавано чрез законодателни мерки и финансови стимули. Тези общности дават възможност на физическите лица, предприятията и местните органи съвместно да произвеждат, потребяват и управляват енергия от възобновяеми източници, като насърчават устойчивостта и местната енергийна автономност.</w:t>
      </w:r>
      <w:hyperlink w:anchor="bookmark67" w:tooltip="Current Document">
        <w:r w:rsidRPr="00F015E5">
          <w:rPr>
            <w:rStyle w:val="Hyperlink"/>
            <w:rFonts w:ascii="Times New Roman" w:hAnsi="Times New Roman" w:cs="Times New Roman"/>
            <w:sz w:val="24"/>
            <w:szCs w:val="24"/>
            <w:vertAlign w:val="superscript"/>
            <w:lang w:val="bg"/>
          </w:rPr>
          <w:footnoteReference w:id="61"/>
        </w:r>
      </w:hyperlink>
    </w:p>
    <w:p w:rsidR="007906A8" w:rsidRPr="00F015E5" w:rsidRDefault="007906A8" w:rsidP="00F015E5">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 xml:space="preserve">Законодателната основа за РЕЦ в Италия започна с транспонирането на Директивата на Европейския съюз за енергията от възобновяеми източници (RED II) чрез декрета „Milleproroghe“ (Декрет-закон 162/2019) през февруари 2020 г. </w:t>
      </w:r>
      <w:r w:rsidRPr="00F015E5">
        <w:rPr>
          <w:rFonts w:ascii="Times New Roman" w:hAnsi="Times New Roman" w:cs="Times New Roman"/>
          <w:sz w:val="24"/>
          <w:szCs w:val="24"/>
          <w:lang w:val="bg"/>
        </w:rPr>
        <w:t xml:space="preserve">Това беше допълнително </w:t>
      </w:r>
      <w:r w:rsidRPr="00F015E5">
        <w:rPr>
          <w:rFonts w:ascii="Times New Roman" w:hAnsi="Times New Roman" w:cs="Times New Roman"/>
          <w:sz w:val="24"/>
          <w:szCs w:val="24"/>
          <w:lang w:val="bg"/>
        </w:rPr>
        <w:lastRenderedPageBreak/>
        <w:t>укрепено с указа за изпълнение от декември 2023 г., с който бяха отпуснати 5,7 милиарда евро в подкрепа на създаването и функционирането на РИО в цялата страна. Тези фондове имат за цел да насърчат производството и споделянето на енергия от възобновяеми източници със специфични разпоредби, като например безвъзмездна помощ, покриваща до 40 % от направените разходи за общини с по-малко от 5000 жители.</w:t>
      </w: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За да улесни регистрацията и управлението на РЕЦ, Gestore Servizi Energetici (GSE), управител</w:t>
      </w:r>
      <w:r w:rsidR="00523CC8" w:rsidRPr="00523CC8">
        <w:rPr>
          <w:rFonts w:ascii="Times New Roman" w:hAnsi="Times New Roman" w:cs="Times New Roman"/>
          <w:sz w:val="24"/>
          <w:szCs w:val="24"/>
          <w:lang w:val="bg"/>
        </w:rPr>
        <w:t>я</w:t>
      </w:r>
      <w:r w:rsidRPr="00523CC8">
        <w:rPr>
          <w:rFonts w:ascii="Times New Roman" w:hAnsi="Times New Roman" w:cs="Times New Roman"/>
          <w:sz w:val="24"/>
          <w:szCs w:val="24"/>
          <w:lang w:val="bg"/>
        </w:rPr>
        <w:t xml:space="preserve"> на енергийните услуги в Италия, създаде специален уеб портал. Тази платформа предоставя технически насоки и наблюдава процеса на кандидатстване за REC, които искат да получат достъп до стимулиращи тарифи. Важно е обаче да се отбележи, че процесът на регистрация може да бъде сложен и да изисква значително въвеждане на данни, което може да създаде предизвикателства за представителите на общността.</w:t>
      </w:r>
      <w:hyperlink w:anchor="bookmark68" w:tooltip="Current Document">
        <w:r w:rsidRPr="00F015E5">
          <w:rPr>
            <w:rStyle w:val="Hyperlink"/>
            <w:rFonts w:ascii="Times New Roman" w:hAnsi="Times New Roman" w:cs="Times New Roman"/>
            <w:sz w:val="24"/>
            <w:szCs w:val="24"/>
            <w:vertAlign w:val="superscript"/>
            <w:lang w:val="bg"/>
          </w:rPr>
          <w:footnoteReference w:id="62"/>
        </w:r>
      </w:hyperlink>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В по-широк план хранилището на енергийните общности на Европейската комисия предлага изчерпателна карта, показваща различни енергийни общности в цяла Европа, включително тези в Италия. Този ресурс предоставя ценна информация за разпределението и дейностите на РЕЦ, като служи като полезен инструмент за заинтересованите страни, които се интересуват от разработването на общностни</w:t>
      </w:r>
      <w:hyperlink w:anchor="bookmark69" w:tooltip="Current Document">
        <w:r w:rsidRPr="00F015E5">
          <w:rPr>
            <w:rStyle w:val="Hyperlink"/>
            <w:rFonts w:ascii="Times New Roman" w:hAnsi="Times New Roman" w:cs="Times New Roman"/>
            <w:sz w:val="24"/>
            <w:szCs w:val="24"/>
            <w:vertAlign w:val="superscript"/>
            <w:lang w:val="bg"/>
          </w:rPr>
          <w:footnoteReference w:id="63"/>
        </w:r>
      </w:hyperlink>
      <w:r w:rsidRPr="00F015E5">
        <w:rPr>
          <w:rFonts w:ascii="Times New Roman" w:hAnsi="Times New Roman" w:cs="Times New Roman"/>
          <w:sz w:val="24"/>
          <w:szCs w:val="24"/>
          <w:vertAlign w:val="superscript"/>
          <w:lang w:val="bg"/>
        </w:rPr>
        <w:t xml:space="preserve"> </w:t>
      </w:r>
      <w:r w:rsidRPr="00523CC8">
        <w:rPr>
          <w:rFonts w:ascii="Times New Roman" w:hAnsi="Times New Roman" w:cs="Times New Roman"/>
          <w:sz w:val="24"/>
          <w:szCs w:val="24"/>
          <w:lang w:val="bg"/>
        </w:rPr>
        <w:t>енергийни проекти.</w:t>
      </w: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Накратко, ангажиментът на Италия за постигане на напредък по отношение на общностите за възобновяема енергия е очевиден чрез нейната стабилна законодателна рамка и значителна финансова подкрепа. Въпреки че процесът на регистрация включва подробни административни процедури, ресурси като портала GSE и хранилището на Европейската комисия са от основно значение за насочването и подпомагането на създаването и разрастването на РИО в цялата страна.</w:t>
      </w:r>
    </w:p>
    <w:p w:rsidR="007906A8" w:rsidRDefault="007906A8" w:rsidP="00523CC8">
      <w:pPr>
        <w:pStyle w:val="Heading3"/>
        <w:spacing w:line="276" w:lineRule="auto"/>
        <w:jc w:val="both"/>
        <w:rPr>
          <w:rFonts w:ascii="Times New Roman" w:hAnsi="Times New Roman" w:cs="Times New Roman"/>
          <w:color w:val="24B1C0"/>
          <w:sz w:val="28"/>
          <w:szCs w:val="28"/>
          <w:lang w:val="bg"/>
        </w:rPr>
      </w:pPr>
      <w:bookmarkStart w:id="238" w:name="_Toc203141302"/>
      <w:r w:rsidRPr="00523CC8">
        <w:rPr>
          <w:rFonts w:ascii="Times New Roman" w:hAnsi="Times New Roman" w:cs="Times New Roman"/>
          <w:noProof/>
          <w:color w:val="24B1C0"/>
          <w:sz w:val="28"/>
          <w:szCs w:val="28"/>
          <w:lang w:val="bg-BG" w:eastAsia="bg-BG"/>
        </w:rPr>
        <w:drawing>
          <wp:anchor distT="0" distB="0" distL="114300" distR="114300" simplePos="0" relativeHeight="251684864" behindDoc="0" locked="0" layoutInCell="1" allowOverlap="1" wp14:anchorId="2739FC48" wp14:editId="76902547">
            <wp:simplePos x="0" y="0"/>
            <wp:positionH relativeFrom="page">
              <wp:posOffset>5835650</wp:posOffset>
            </wp:positionH>
            <wp:positionV relativeFrom="paragraph">
              <wp:posOffset>292100</wp:posOffset>
            </wp:positionV>
            <wp:extent cx="890270" cy="890270"/>
            <wp:effectExtent l="0" t="0" r="0" b="0"/>
            <wp:wrapSquare wrapText="left"/>
            <wp:docPr id="187" name="Форма 187"/>
            <wp:cNvGraphicFramePr/>
            <a:graphic xmlns:a="http://schemas.openxmlformats.org/drawingml/2006/main">
              <a:graphicData uri="http://schemas.openxmlformats.org/drawingml/2006/picture">
                <pic:pic xmlns:pic="http://schemas.openxmlformats.org/drawingml/2006/picture">
                  <pic:nvPicPr>
                    <pic:cNvPr id="188" name="Кутия за снимки 188"/>
                    <pic:cNvPicPr/>
                  </pic:nvPicPr>
                  <pic:blipFill>
                    <a:blip r:embed="rId40"/>
                    <a:stretch/>
                  </pic:blipFill>
                  <pic:spPr>
                    <a:xfrm>
                      <a:off x="0" y="0"/>
                      <a:ext cx="890270" cy="890270"/>
                    </a:xfrm>
                    <a:prstGeom prst="rect">
                      <a:avLst/>
                    </a:prstGeom>
                  </pic:spPr>
                </pic:pic>
              </a:graphicData>
            </a:graphic>
          </wp:anchor>
        </w:drawing>
      </w:r>
      <w:bookmarkStart w:id="239" w:name="bookmark372"/>
      <w:bookmarkStart w:id="240" w:name="bookmark371"/>
      <w:r w:rsidR="00523CC8" w:rsidRPr="00523CC8">
        <w:rPr>
          <w:rFonts w:ascii="Times New Roman" w:hAnsi="Times New Roman" w:cs="Times New Roman"/>
          <w:color w:val="24B1C0"/>
          <w:sz w:val="28"/>
          <w:szCs w:val="28"/>
          <w:lang w:val="bg"/>
        </w:rPr>
        <w:t>5.</w:t>
      </w:r>
      <w:r w:rsidR="00CE6D3C">
        <w:rPr>
          <w:rFonts w:ascii="Times New Roman" w:hAnsi="Times New Roman" w:cs="Times New Roman"/>
          <w:color w:val="24B1C0"/>
          <w:sz w:val="28"/>
          <w:szCs w:val="28"/>
          <w:lang w:val="bg"/>
        </w:rPr>
        <w:t>2</w:t>
      </w:r>
      <w:r w:rsidR="00523CC8" w:rsidRPr="00523CC8">
        <w:rPr>
          <w:rFonts w:ascii="Times New Roman" w:hAnsi="Times New Roman" w:cs="Times New Roman"/>
          <w:color w:val="24B1C0"/>
          <w:sz w:val="28"/>
          <w:szCs w:val="28"/>
          <w:lang w:val="bg"/>
        </w:rPr>
        <w:t xml:space="preserve">.5 </w:t>
      </w:r>
      <w:r w:rsidRPr="00523CC8">
        <w:rPr>
          <w:rFonts w:ascii="Times New Roman" w:hAnsi="Times New Roman" w:cs="Times New Roman"/>
          <w:color w:val="24B1C0"/>
          <w:sz w:val="28"/>
          <w:szCs w:val="28"/>
          <w:lang w:val="bg"/>
        </w:rPr>
        <w:t>Румъния</w:t>
      </w:r>
      <w:bookmarkEnd w:id="238"/>
      <w:bookmarkEnd w:id="239"/>
      <w:bookmarkEnd w:id="240"/>
    </w:p>
    <w:p w:rsidR="00CE6D3C" w:rsidRPr="00CE6D3C" w:rsidRDefault="00CE6D3C" w:rsidP="00CE6D3C">
      <w:pPr>
        <w:rPr>
          <w:lang w:val="bg"/>
        </w:rPr>
      </w:pP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Румъния активно разработва правната рамка в подкрепа на енергийните общности, като има за цел да даде възможност на гражданите, местните органи и предприятията да участват в инициативи за енергия от възобновяеми източници. През декември 2022 г. правителството въведе законодателство за определяне на РТЕ чрез Извънредно постановление 163/2022. В тази наредба се очертават условията и правата на регионалните икономически центрове, като се набляга на откритото участие и местния контрол.</w:t>
      </w:r>
      <w:hyperlink w:anchor="bookmark70" w:tooltip="Current Document">
        <w:r w:rsidRPr="00F015E5">
          <w:rPr>
            <w:rStyle w:val="Hyperlink"/>
            <w:rFonts w:ascii="Times New Roman" w:hAnsi="Times New Roman" w:cs="Times New Roman"/>
            <w:sz w:val="24"/>
            <w:szCs w:val="24"/>
            <w:vertAlign w:val="superscript"/>
            <w:lang w:val="bg"/>
          </w:rPr>
          <w:footnoteReference w:id="64"/>
        </w:r>
      </w:hyperlink>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За да се улесни официалната регистрация и управлението на тези енергийни общности, Националният орган за енергийно регулиране (ANRE) създаде специален регистър на енергийните общности. Този регистър гарантира, че енергийните общности функционират прозрачно и в съответствие с националните разпоредби.</w:t>
      </w:r>
      <w:hyperlink w:anchor="bookmark71" w:tooltip="Current Document">
        <w:r w:rsidRPr="00F015E5">
          <w:rPr>
            <w:rStyle w:val="Hyperlink"/>
            <w:rFonts w:ascii="Times New Roman" w:hAnsi="Times New Roman" w:cs="Times New Roman"/>
            <w:sz w:val="24"/>
            <w:szCs w:val="24"/>
            <w:vertAlign w:val="superscript"/>
            <w:lang w:val="bg"/>
          </w:rPr>
          <w:footnoteReference w:id="65"/>
        </w:r>
      </w:hyperlink>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 xml:space="preserve">Считано от 1 октомври 2024 г., съгласно Заповед No 60/2024 на ANRE ще бъдат въведени промени по отношение на метода за изчисляване на цената на електроенергията, продадена </w:t>
      </w:r>
      <w:r w:rsidRPr="00523CC8">
        <w:rPr>
          <w:rFonts w:ascii="Times New Roman" w:hAnsi="Times New Roman" w:cs="Times New Roman"/>
          <w:sz w:val="24"/>
          <w:szCs w:val="24"/>
          <w:lang w:val="bg"/>
        </w:rPr>
        <w:lastRenderedPageBreak/>
        <w:t>по време на пробния период, както и максималната продължителност, разрешена за този период, в зависимост от инсталираната мощност.</w:t>
      </w:r>
      <w:hyperlink w:anchor="bookmark72" w:tooltip="Current Document">
        <w:r w:rsidRPr="00F015E5">
          <w:rPr>
            <w:rStyle w:val="Hyperlink"/>
            <w:rFonts w:ascii="Times New Roman" w:hAnsi="Times New Roman" w:cs="Times New Roman"/>
            <w:sz w:val="24"/>
            <w:szCs w:val="24"/>
            <w:vertAlign w:val="superscript"/>
            <w:lang w:val="bg"/>
          </w:rPr>
          <w:footnoteReference w:id="66"/>
        </w:r>
      </w:hyperlink>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Със заповедта, приета в края на август 2024 г. от Националния орган за енергийно регулиране (ANRE), се определя продължителността на пробния период за различните категории инсталации в зависимост от мощността на точката на присъединяване и инсталираната мощност на централата. По този начин пробният период от първото захранване се определя, както следва:</w:t>
      </w:r>
      <w:hyperlink w:anchor="bookmark73" w:tooltip="Current Document">
        <w:r w:rsidRPr="00F015E5">
          <w:rPr>
            <w:rStyle w:val="Hyperlink"/>
            <w:rFonts w:ascii="Times New Roman" w:hAnsi="Times New Roman" w:cs="Times New Roman"/>
            <w:sz w:val="24"/>
            <w:szCs w:val="24"/>
            <w:vertAlign w:val="superscript"/>
            <w:lang w:val="bg"/>
          </w:rPr>
          <w:footnoteReference w:id="67"/>
        </w:r>
      </w:hyperlink>
    </w:p>
    <w:p w:rsidR="00523CC8" w:rsidRDefault="007906A8" w:rsidP="00B01311">
      <w:pPr>
        <w:pStyle w:val="ListParagraph"/>
        <w:numPr>
          <w:ilvl w:val="0"/>
          <w:numId w:val="103"/>
        </w:num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Инсталации от категория А: максимум 6 месеца;</w:t>
      </w:r>
    </w:p>
    <w:p w:rsidR="00523CC8" w:rsidRDefault="007906A8" w:rsidP="00B01311">
      <w:pPr>
        <w:pStyle w:val="ListParagraph"/>
        <w:numPr>
          <w:ilvl w:val="0"/>
          <w:numId w:val="103"/>
        </w:num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Инсталации от категории Б и В: максимум 12 месеца;</w:t>
      </w:r>
    </w:p>
    <w:p w:rsidR="007906A8" w:rsidRPr="00523CC8" w:rsidRDefault="007906A8" w:rsidP="00B01311">
      <w:pPr>
        <w:pStyle w:val="ListParagraph"/>
        <w:numPr>
          <w:ilvl w:val="0"/>
          <w:numId w:val="103"/>
        </w:num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Инсталации от категория D: максимум 24 месеца.</w:t>
      </w: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Преди това тези срокове не бяха ясно определени, нито имаше толкова подробни разграничения между категориите. Съгласно новите изменения цената на енергията, доставена по време на пробния период, ще се променя, както следва:</w:t>
      </w:r>
    </w:p>
    <w:p w:rsidR="00523CC8" w:rsidRDefault="007906A8" w:rsidP="00B01311">
      <w:pPr>
        <w:pStyle w:val="ListParagraph"/>
        <w:numPr>
          <w:ilvl w:val="0"/>
          <w:numId w:val="104"/>
        </w:num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В случай на положителна цена PZU за електроенергията, произведена и доставена на националната енергийна система (SEN), производителят ще получи от оператора на преносна система по-ниската стойност между цената на затваряне на цената на следващия ден (PZU) във всеки интервал за уреждане на дисбаланса и 400 леи/MWh.</w:t>
      </w:r>
    </w:p>
    <w:p w:rsidR="007906A8" w:rsidRPr="00523CC8" w:rsidRDefault="007906A8" w:rsidP="00B01311">
      <w:pPr>
        <w:pStyle w:val="ListParagraph"/>
        <w:numPr>
          <w:ilvl w:val="0"/>
          <w:numId w:val="104"/>
        </w:num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В случай на отрицателна цена PZU производителят ще плати на оператора на преносна система сумата, съответстваща на отрицателната цена за енергията, доставена в националната енергийна система.</w:t>
      </w: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Освен това ползвателите в пробния период вече няма да могат да подават оферти на балансиращия пазар — забрана, която не е била ясно регулирана преди това. Освен това новият регламент въведе фиксирана цена от 400 RON/MWh като горна граница за цената на електроенергията, произведена по време на пробния период.</w:t>
      </w: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Друга значителна промяна, въведена с приемането на Заповед No 60/2024 на ANRE, е задължението на потребителите да се регистрират като отговарящо за балансирането лице (BRP) след приключване на изпитванията за участие на пазара на електроенергия. В случай че такава регистрация не бъде извършена, обектите за производство/потребление трябва да бъдат изключени от мрежата и да останат такива до приключване на процеса на регистрация. Освен това е важно да се отбележи, че потребителите няма да могат да провеждат функционални изпитвания по време на официални празници и почивни дни и от тях ще се изисква да информират съответния мрежов оператор и ОПС след приключването на тези изпитвания.</w:t>
      </w:r>
    </w:p>
    <w:p w:rsidR="007906A8" w:rsidRDefault="00523CC8" w:rsidP="00523CC8">
      <w:pPr>
        <w:pStyle w:val="Heading3"/>
        <w:spacing w:line="276" w:lineRule="auto"/>
        <w:jc w:val="both"/>
        <w:rPr>
          <w:rFonts w:ascii="Times New Roman" w:hAnsi="Times New Roman" w:cs="Times New Roman"/>
          <w:color w:val="24B1C0"/>
          <w:sz w:val="28"/>
          <w:szCs w:val="28"/>
          <w:lang w:val="bg"/>
        </w:rPr>
      </w:pPr>
      <w:bookmarkStart w:id="245" w:name="bookmark375"/>
      <w:bookmarkStart w:id="246" w:name="bookmark374"/>
      <w:bookmarkStart w:id="247" w:name="_Toc203141303"/>
      <w:r w:rsidRPr="00523CC8">
        <w:rPr>
          <w:rFonts w:ascii="Times New Roman" w:hAnsi="Times New Roman" w:cs="Times New Roman"/>
          <w:color w:val="24B1C0"/>
          <w:sz w:val="28"/>
          <w:szCs w:val="28"/>
          <w:lang w:val="bg"/>
        </w:rPr>
        <w:t>5.</w:t>
      </w:r>
      <w:r w:rsidR="00CE6D3C">
        <w:rPr>
          <w:rFonts w:ascii="Times New Roman" w:hAnsi="Times New Roman" w:cs="Times New Roman"/>
          <w:color w:val="24B1C0"/>
          <w:sz w:val="28"/>
          <w:szCs w:val="28"/>
          <w:lang w:val="bg"/>
        </w:rPr>
        <w:t>2</w:t>
      </w:r>
      <w:r w:rsidRPr="00523CC8">
        <w:rPr>
          <w:rFonts w:ascii="Times New Roman" w:hAnsi="Times New Roman" w:cs="Times New Roman"/>
          <w:color w:val="24B1C0"/>
          <w:sz w:val="28"/>
          <w:szCs w:val="28"/>
          <w:lang w:val="bg"/>
        </w:rPr>
        <w:t xml:space="preserve">.6 </w:t>
      </w:r>
      <w:r w:rsidR="007906A8" w:rsidRPr="00523CC8">
        <w:rPr>
          <w:rFonts w:ascii="Times New Roman" w:hAnsi="Times New Roman" w:cs="Times New Roman"/>
          <w:color w:val="24B1C0"/>
          <w:sz w:val="28"/>
          <w:szCs w:val="28"/>
          <w:lang w:val="bg"/>
        </w:rPr>
        <w:t>Австрия</w:t>
      </w:r>
      <w:bookmarkEnd w:id="245"/>
      <w:bookmarkEnd w:id="246"/>
      <w:bookmarkEnd w:id="247"/>
    </w:p>
    <w:p w:rsidR="00CE6D3C" w:rsidRPr="00CE6D3C" w:rsidRDefault="00CE6D3C" w:rsidP="00CE6D3C">
      <w:pPr>
        <w:rPr>
          <w:lang w:val="bg"/>
        </w:rPr>
      </w:pPr>
    </w:p>
    <w:p w:rsidR="007906A8" w:rsidRPr="00523CC8" w:rsidRDefault="007906A8" w:rsidP="00523CC8">
      <w:pPr>
        <w:spacing w:line="276" w:lineRule="auto"/>
        <w:jc w:val="both"/>
        <w:rPr>
          <w:rFonts w:ascii="Times New Roman" w:hAnsi="Times New Roman" w:cs="Times New Roman"/>
          <w:sz w:val="24"/>
          <w:szCs w:val="24"/>
          <w:lang w:val="bg"/>
        </w:rPr>
      </w:pPr>
      <w:r w:rsidRPr="00523CC8">
        <w:rPr>
          <w:rFonts w:ascii="Times New Roman" w:hAnsi="Times New Roman" w:cs="Times New Roman"/>
          <w:sz w:val="24"/>
          <w:szCs w:val="24"/>
          <w:lang w:val="bg"/>
        </w:rPr>
        <w:t xml:space="preserve">Австрия е проактивна в насърчаването на енергийните общности, като позволява на гражданите, предприятията и местните органи да произвеждат, потребяват, съхраняват и продават енергия от възобновяеми източници в сътрудничество. Правната основа за тези </w:t>
      </w:r>
      <w:r w:rsidRPr="00523CC8">
        <w:rPr>
          <w:rFonts w:ascii="Times New Roman" w:hAnsi="Times New Roman" w:cs="Times New Roman"/>
          <w:sz w:val="24"/>
          <w:szCs w:val="24"/>
          <w:lang w:val="bg"/>
        </w:rPr>
        <w:lastRenderedPageBreak/>
        <w:t>инициативи беше създадена със Закона за разширяване на използването на енергия от възобновяеми източници (ЗЕВИ), влязъл в сила на 7 юли 2021 г., който улеснява споделянето на енергия чрез използване на обществени електроенергийни мрежи извън границите на отделните имоти.</w:t>
      </w:r>
      <w:hyperlink w:anchor="bookmark74" w:tooltip="Current Document">
        <w:r w:rsidRPr="00F015E5">
          <w:rPr>
            <w:rStyle w:val="Hyperlink"/>
            <w:rFonts w:ascii="Times New Roman" w:hAnsi="Times New Roman" w:cs="Times New Roman"/>
            <w:sz w:val="24"/>
            <w:szCs w:val="24"/>
            <w:vertAlign w:val="superscript"/>
            <w:lang w:val="bg"/>
          </w:rPr>
          <w:footnoteReference w:id="68"/>
        </w:r>
      </w:hyperlink>
      <w:r w:rsidRPr="00523CC8">
        <w:rPr>
          <w:rFonts w:ascii="Times New Roman" w:hAnsi="Times New Roman" w:cs="Times New Roman"/>
          <w:sz w:val="24"/>
          <w:szCs w:val="24"/>
          <w:lang w:val="bg"/>
        </w:rPr>
        <w:t xml:space="preserve"> За да подкрепи и регулира тези енергийни общности, Австрия създаде всеобхватна рамка:</w:t>
      </w:r>
    </w:p>
    <w:p w:rsidR="007906A8" w:rsidRPr="00F015E5" w:rsidRDefault="007906A8" w:rsidP="00523CC8">
      <w:pPr>
        <w:jc w:val="both"/>
        <w:rPr>
          <w:rFonts w:ascii="Times New Roman" w:hAnsi="Times New Roman" w:cs="Times New Roman"/>
          <w:sz w:val="24"/>
          <w:szCs w:val="24"/>
          <w:vertAlign w:val="superscript"/>
          <w:lang w:val="bg"/>
        </w:rPr>
      </w:pPr>
      <w:r w:rsidRPr="00523CC8">
        <w:rPr>
          <w:rFonts w:ascii="Times New Roman" w:hAnsi="Times New Roman" w:cs="Times New Roman"/>
          <w:b/>
          <w:bCs/>
          <w:sz w:val="24"/>
          <w:szCs w:val="24"/>
          <w:lang w:val="bg"/>
        </w:rPr>
        <w:t xml:space="preserve">E-Control Австрия: Националният </w:t>
      </w:r>
      <w:r w:rsidRPr="00523CC8">
        <w:rPr>
          <w:rFonts w:ascii="Times New Roman" w:hAnsi="Times New Roman" w:cs="Times New Roman"/>
          <w:sz w:val="24"/>
          <w:szCs w:val="24"/>
          <w:lang w:val="bg"/>
        </w:rPr>
        <w:t>регулаторен орган, отговарящ за надзора на енергийните пазари, включително енергийните общности. Те предоставят насоки и ресурси за създаване и функциониране на енергийни общности.</w:t>
      </w:r>
      <w:hyperlink w:anchor="bookmark75" w:tooltip="Current Document">
        <w:r w:rsidRPr="00F015E5">
          <w:rPr>
            <w:rStyle w:val="Hyperlink"/>
            <w:rFonts w:ascii="Times New Roman" w:hAnsi="Times New Roman" w:cs="Times New Roman"/>
            <w:sz w:val="24"/>
            <w:szCs w:val="24"/>
            <w:vertAlign w:val="superscript"/>
            <w:lang w:val="bg"/>
          </w:rPr>
          <w:footnoteReference w:id="69"/>
        </w:r>
      </w:hyperlink>
      <w:hyperlink r:id="rId41" w:history="1"/>
    </w:p>
    <w:p w:rsidR="007906A8" w:rsidRPr="00523CC8" w:rsidRDefault="007906A8" w:rsidP="00523CC8">
      <w:pPr>
        <w:jc w:val="both"/>
        <w:rPr>
          <w:rFonts w:ascii="Times New Roman" w:hAnsi="Times New Roman" w:cs="Times New Roman"/>
          <w:sz w:val="24"/>
          <w:szCs w:val="24"/>
          <w:lang w:val="bg"/>
        </w:rPr>
      </w:pPr>
      <w:r w:rsidRPr="00523CC8">
        <w:rPr>
          <w:rFonts w:ascii="Times New Roman" w:hAnsi="Times New Roman" w:cs="Times New Roman"/>
          <w:sz w:val="24"/>
          <w:szCs w:val="24"/>
          <w:lang w:val="bg"/>
        </w:rPr>
        <w:t xml:space="preserve">Бюро за </w:t>
      </w:r>
      <w:r w:rsidRPr="00523CC8">
        <w:rPr>
          <w:rFonts w:ascii="Times New Roman" w:hAnsi="Times New Roman" w:cs="Times New Roman"/>
          <w:b/>
          <w:bCs/>
          <w:sz w:val="24"/>
          <w:szCs w:val="24"/>
          <w:lang w:val="bg"/>
        </w:rPr>
        <w:t xml:space="preserve">координация на енергийните общности: </w:t>
      </w:r>
      <w:r w:rsidRPr="00523CC8">
        <w:rPr>
          <w:rFonts w:ascii="Times New Roman" w:hAnsi="Times New Roman" w:cs="Times New Roman"/>
          <w:sz w:val="24"/>
          <w:szCs w:val="24"/>
          <w:lang w:val="bg"/>
        </w:rPr>
        <w:t>Тази служба служи като централно звено за контакт, като предлага информация и подкрепа на съществуващи и бъдещи енергийни общности. Официалният им уебсайт предоставя подробни насоки относно правните изисквания, процесите на регистрация и най-добрите оперативни практики.</w:t>
      </w:r>
    </w:p>
    <w:p w:rsidR="007906A8" w:rsidRPr="00523CC8" w:rsidRDefault="007906A8" w:rsidP="00523CC8">
      <w:pPr>
        <w:jc w:val="both"/>
        <w:rPr>
          <w:rFonts w:ascii="Times New Roman" w:hAnsi="Times New Roman" w:cs="Times New Roman"/>
          <w:sz w:val="24"/>
          <w:szCs w:val="24"/>
          <w:lang w:val="bg"/>
        </w:rPr>
      </w:pPr>
      <w:r w:rsidRPr="00523CC8">
        <w:rPr>
          <w:rFonts w:ascii="Times New Roman" w:hAnsi="Times New Roman" w:cs="Times New Roman"/>
          <w:sz w:val="24"/>
          <w:szCs w:val="24"/>
          <w:lang w:val="bg"/>
        </w:rPr>
        <w:t>За тези, които се интересуват от регистрирането на енергийна общност в Австрия, уебсайтът на Бюрото за координация предлага ръководство стъпка по стъпка и необходимите формуляри. Препоръчително е да се консултирате с правни и енергийни експерти, за да гарантирате спазването на всички регулаторни изисквания. Като насърчава развитието на енергийните общности, Австрия има за цел да увеличи местното производство на енергия, да увеличи участието на обществеността в енергийния сектор и да насърчи използването на възобновяеми енергийни източници.</w:t>
      </w:r>
    </w:p>
    <w:p w:rsidR="007906A8" w:rsidRPr="00523CC8" w:rsidRDefault="007906A8" w:rsidP="00523CC8">
      <w:pPr>
        <w:jc w:val="both"/>
        <w:rPr>
          <w:rFonts w:ascii="Times New Roman" w:hAnsi="Times New Roman" w:cs="Times New Roman"/>
          <w:sz w:val="24"/>
          <w:szCs w:val="24"/>
        </w:rPr>
        <w:sectPr w:rsidR="007906A8" w:rsidRPr="00523CC8" w:rsidSect="006971CE">
          <w:footerReference w:type="even" r:id="rId42"/>
          <w:footerReference w:type="default" r:id="rId43"/>
          <w:pgSz w:w="12211" w:h="17419"/>
          <w:pgMar w:top="1417" w:right="1417" w:bottom="1417" w:left="1417" w:header="1283" w:footer="3" w:gutter="0"/>
          <w:cols w:space="720"/>
          <w:noEndnote/>
          <w:docGrid w:linePitch="360"/>
        </w:sectPr>
      </w:pPr>
      <w:r w:rsidRPr="00523CC8">
        <w:rPr>
          <w:rFonts w:ascii="Times New Roman" w:hAnsi="Times New Roman" w:cs="Times New Roman"/>
          <w:sz w:val="24"/>
          <w:szCs w:val="24"/>
          <w:lang w:val="bg"/>
        </w:rPr>
        <w:t>В таблица 3 са показани законите на 6 държави — членки на ЕС, в които е определена регистрацията на енергийните общности (CECs, RECs), заедно с институциите, които администрират и поддържат регистрите и основните реквизити на тези регистри.</w:t>
      </w:r>
    </w:p>
    <w:p w:rsidR="007906A8" w:rsidRPr="007906A8" w:rsidRDefault="007906A8" w:rsidP="007906A8">
      <w:pPr>
        <w:rPr>
          <w:lang w:val="bg"/>
        </w:rPr>
      </w:pPr>
      <w:r w:rsidRPr="007906A8">
        <w:rPr>
          <w:lang w:val="bg"/>
        </w:rPr>
        <w:lastRenderedPageBreak/>
        <w:t>Таблица 3 — Сравнение на нормативната уредба и съдържанието на регистрите на енергийните общности на различните държави</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77"/>
        <w:gridCol w:w="1843"/>
        <w:gridCol w:w="1982"/>
        <w:gridCol w:w="2981"/>
        <w:gridCol w:w="2030"/>
        <w:gridCol w:w="2021"/>
        <w:gridCol w:w="2045"/>
      </w:tblGrid>
      <w:tr w:rsidR="007906A8" w:rsidRPr="00523CC8" w:rsidTr="005A0A7F">
        <w:trPr>
          <w:trHeight w:hRule="exact" w:val="250"/>
          <w:jc w:val="center"/>
        </w:trPr>
        <w:tc>
          <w:tcPr>
            <w:tcW w:w="14179" w:type="dxa"/>
            <w:gridSpan w:val="7"/>
            <w:tcBorders>
              <w:top w:val="single" w:sz="4" w:space="0" w:color="auto"/>
              <w:left w:val="single" w:sz="4" w:space="0" w:color="auto"/>
              <w:right w:val="single" w:sz="4" w:space="0" w:color="auto"/>
            </w:tcBorders>
            <w:shd w:val="clear" w:color="auto" w:fill="D2EFEF"/>
            <w:vAlign w:val="bottom"/>
          </w:tcPr>
          <w:p w:rsidR="007906A8" w:rsidRPr="00523CC8" w:rsidRDefault="007906A8" w:rsidP="007906A8">
            <w:pPr>
              <w:rPr>
                <w:sz w:val="18"/>
                <w:szCs w:val="18"/>
                <w:lang w:val="bg"/>
              </w:rPr>
            </w:pPr>
            <w:r w:rsidRPr="00523CC8">
              <w:rPr>
                <w:b/>
                <w:bCs/>
                <w:sz w:val="18"/>
                <w:szCs w:val="18"/>
                <w:lang w:val="bg"/>
              </w:rPr>
              <w:t xml:space="preserve">Сравнителна таблица на </w:t>
            </w:r>
            <w:r w:rsidRPr="00523CC8">
              <w:rPr>
                <w:b/>
                <w:bCs/>
                <w:sz w:val="18"/>
                <w:szCs w:val="18"/>
              </w:rPr>
              <w:t>CEC</w:t>
            </w:r>
            <w:r w:rsidRPr="00523CC8">
              <w:rPr>
                <w:b/>
                <w:bCs/>
                <w:sz w:val="18"/>
                <w:szCs w:val="18"/>
                <w:lang w:val="bg"/>
              </w:rPr>
              <w:t xml:space="preserve"> и </w:t>
            </w:r>
            <w:r w:rsidRPr="00523CC8">
              <w:rPr>
                <w:b/>
                <w:bCs/>
                <w:sz w:val="18"/>
                <w:szCs w:val="18"/>
              </w:rPr>
              <w:t>REC</w:t>
            </w:r>
            <w:r w:rsidRPr="00523CC8">
              <w:rPr>
                <w:b/>
                <w:bCs/>
                <w:sz w:val="18"/>
                <w:szCs w:val="18"/>
                <w:lang w:val="bg"/>
              </w:rPr>
              <w:t xml:space="preserve"> в 6 държави от Европейския съюз</w:t>
            </w:r>
          </w:p>
        </w:tc>
      </w:tr>
      <w:tr w:rsidR="007906A8" w:rsidRPr="00523CC8" w:rsidTr="005A0A7F">
        <w:trPr>
          <w:trHeight w:hRule="exact" w:val="365"/>
          <w:jc w:val="center"/>
        </w:trPr>
        <w:tc>
          <w:tcPr>
            <w:tcW w:w="1277"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p>
        </w:tc>
        <w:tc>
          <w:tcPr>
            <w:tcW w:w="1843"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Гърция</w:t>
            </w:r>
          </w:p>
        </w:tc>
        <w:tc>
          <w:tcPr>
            <w:tcW w:w="1982"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Румъния</w:t>
            </w:r>
          </w:p>
        </w:tc>
        <w:tc>
          <w:tcPr>
            <w:tcW w:w="298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Австрия</w:t>
            </w:r>
          </w:p>
        </w:tc>
        <w:tc>
          <w:tcPr>
            <w:tcW w:w="2030"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Германия</w:t>
            </w:r>
          </w:p>
        </w:tc>
        <w:tc>
          <w:tcPr>
            <w:tcW w:w="202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Франция</w:t>
            </w:r>
          </w:p>
        </w:tc>
        <w:tc>
          <w:tcPr>
            <w:tcW w:w="2045" w:type="dxa"/>
            <w:tcBorders>
              <w:top w:val="single" w:sz="4" w:space="0" w:color="auto"/>
              <w:left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Италия</w:t>
            </w:r>
          </w:p>
        </w:tc>
      </w:tr>
      <w:tr w:rsidR="007906A8" w:rsidRPr="00523CC8" w:rsidTr="00523CC8">
        <w:trPr>
          <w:trHeight w:hRule="exact" w:val="2630"/>
          <w:jc w:val="center"/>
        </w:trPr>
        <w:tc>
          <w:tcPr>
            <w:tcW w:w="1277"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Закон или</w:t>
            </w:r>
          </w:p>
          <w:p w:rsidR="007906A8" w:rsidRPr="00523CC8" w:rsidRDefault="007906A8" w:rsidP="007906A8">
            <w:pPr>
              <w:rPr>
                <w:sz w:val="18"/>
                <w:szCs w:val="18"/>
                <w:lang w:val="bg"/>
              </w:rPr>
            </w:pPr>
            <w:r w:rsidRPr="00523CC8">
              <w:rPr>
                <w:b/>
                <w:bCs/>
                <w:sz w:val="18"/>
                <w:szCs w:val="18"/>
                <w:lang w:val="bg"/>
              </w:rPr>
              <w:t>Регламент</w:t>
            </w:r>
          </w:p>
        </w:tc>
        <w:tc>
          <w:tcPr>
            <w:tcW w:w="1843"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Закон 4513/2018.</w:t>
            </w:r>
          </w:p>
          <w:p w:rsidR="007906A8" w:rsidRPr="00523CC8" w:rsidRDefault="007906A8" w:rsidP="007906A8">
            <w:pPr>
              <w:rPr>
                <w:sz w:val="18"/>
                <w:szCs w:val="18"/>
                <w:lang w:val="bg"/>
              </w:rPr>
            </w:pPr>
            <w:r w:rsidRPr="00523CC8">
              <w:rPr>
                <w:sz w:val="18"/>
                <w:szCs w:val="18"/>
                <w:lang w:val="bg"/>
              </w:rPr>
              <w:t>Закон 5037/2023 за енергийните общности и други разпоредби,</w:t>
            </w:r>
          </w:p>
        </w:tc>
        <w:tc>
          <w:tcPr>
            <w:tcW w:w="1982"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LEGE nr. 220 din 27 octombrie 2008 pentru stabilirea sistemului de promovare a producerii energiei din surse regenerabile de energie*)</w:t>
            </w:r>
          </w:p>
        </w:tc>
        <w:tc>
          <w:tcPr>
            <w:tcW w:w="298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Energieeffizienzgesetz</w:t>
            </w:r>
          </w:p>
          <w:p w:rsidR="007906A8" w:rsidRPr="00523CC8" w:rsidRDefault="007906A8" w:rsidP="007906A8">
            <w:pPr>
              <w:rPr>
                <w:sz w:val="18"/>
                <w:szCs w:val="18"/>
                <w:lang w:val="bg"/>
              </w:rPr>
            </w:pPr>
            <w:r w:rsidRPr="00523CC8">
              <w:rPr>
                <w:sz w:val="18"/>
                <w:szCs w:val="18"/>
                <w:lang w:val="bg"/>
              </w:rPr>
              <w:t>Energiecommunitygesetz</w:t>
            </w:r>
          </w:p>
        </w:tc>
        <w:tc>
          <w:tcPr>
            <w:tcW w:w="2030"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Ернеуербаре-Енержиен-Гезец</w:t>
            </w:r>
          </w:p>
        </w:tc>
        <w:tc>
          <w:tcPr>
            <w:tcW w:w="202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Loi relative à la transition énergétique pour la croissance verte</w:t>
            </w:r>
          </w:p>
        </w:tc>
        <w:tc>
          <w:tcPr>
            <w:tcW w:w="2045" w:type="dxa"/>
            <w:tcBorders>
              <w:top w:val="single" w:sz="4" w:space="0" w:color="auto"/>
              <w:left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ДЕКРЕТО ЛЕГИСЛАТИВО 8 ноември 2021 г., No 199</w:t>
            </w:r>
          </w:p>
        </w:tc>
      </w:tr>
      <w:tr w:rsidR="007906A8" w:rsidRPr="00523CC8" w:rsidTr="005A0A7F">
        <w:trPr>
          <w:trHeight w:hRule="exact" w:val="869"/>
          <w:jc w:val="center"/>
        </w:trPr>
        <w:tc>
          <w:tcPr>
            <w:tcW w:w="1277"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Наименование на регистъра</w:t>
            </w:r>
          </w:p>
        </w:tc>
        <w:tc>
          <w:tcPr>
            <w:tcW w:w="1843"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Регистър на енергийните общности</w:t>
            </w:r>
          </w:p>
        </w:tc>
        <w:tc>
          <w:tcPr>
            <w:tcW w:w="1982"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Registrul comunităților energetice“.</w:t>
            </w:r>
          </w:p>
        </w:tc>
        <w:tc>
          <w:tcPr>
            <w:tcW w:w="298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Register der Energiegemeinschaften</w:t>
            </w:r>
          </w:p>
        </w:tc>
        <w:tc>
          <w:tcPr>
            <w:tcW w:w="2030"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Marktstammdatenregiste r (MaStR)</w:t>
            </w:r>
          </w:p>
        </w:tc>
        <w:tc>
          <w:tcPr>
            <w:tcW w:w="202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Registre National des Communautés Énergétiques (RNCE),</w:t>
            </w:r>
          </w:p>
        </w:tc>
        <w:tc>
          <w:tcPr>
            <w:tcW w:w="2045" w:type="dxa"/>
            <w:tcBorders>
              <w:top w:val="single" w:sz="4" w:space="0" w:color="auto"/>
              <w:left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„Registro Nazionale delle Comunità Energetiche“.</w:t>
            </w:r>
          </w:p>
        </w:tc>
      </w:tr>
      <w:tr w:rsidR="007906A8" w:rsidRPr="00523CC8" w:rsidTr="005A0A7F">
        <w:trPr>
          <w:trHeight w:hRule="exact" w:val="1066"/>
          <w:jc w:val="center"/>
        </w:trPr>
        <w:tc>
          <w:tcPr>
            <w:tcW w:w="1277"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Администриране d от</w:t>
            </w:r>
          </w:p>
        </w:tc>
        <w:tc>
          <w:tcPr>
            <w:tcW w:w="1843"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Общ търговски регистър (GEMI).</w:t>
            </w:r>
          </w:p>
        </w:tc>
        <w:tc>
          <w:tcPr>
            <w:tcW w:w="1982"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Autoritatea Națională de Reglementare în Domeniul Energiei — ANRE</w:t>
            </w:r>
          </w:p>
        </w:tc>
        <w:tc>
          <w:tcPr>
            <w:tcW w:w="298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Бундеснетзагентур</w:t>
            </w:r>
          </w:p>
        </w:tc>
        <w:tc>
          <w:tcPr>
            <w:tcW w:w="2030"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Bundesnetzagentur (BNetzA) (Бундеснетзагентур)</w:t>
            </w:r>
          </w:p>
        </w:tc>
        <w:tc>
          <w:tcPr>
            <w:tcW w:w="202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Агенция за екологичен преход (ADEME)</w:t>
            </w:r>
          </w:p>
        </w:tc>
        <w:tc>
          <w:tcPr>
            <w:tcW w:w="2045" w:type="dxa"/>
            <w:tcBorders>
              <w:top w:val="single" w:sz="4" w:space="0" w:color="auto"/>
              <w:left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sz w:val="18"/>
                <w:szCs w:val="18"/>
                <w:lang w:val="bg"/>
              </w:rPr>
              <w:t>Ministero dell’Economia e delle Finanze,</w:t>
            </w:r>
          </w:p>
          <w:p w:rsidR="007906A8" w:rsidRPr="00523CC8" w:rsidRDefault="007906A8" w:rsidP="007906A8">
            <w:pPr>
              <w:rPr>
                <w:sz w:val="18"/>
                <w:szCs w:val="18"/>
                <w:lang w:val="bg"/>
              </w:rPr>
            </w:pPr>
            <w:r w:rsidRPr="00523CC8">
              <w:rPr>
                <w:sz w:val="18"/>
                <w:szCs w:val="18"/>
                <w:lang w:val="bg"/>
              </w:rPr>
              <w:t>Agenzia Nazionale на Risorse Energetiche</w:t>
            </w:r>
          </w:p>
        </w:tc>
      </w:tr>
      <w:tr w:rsidR="007906A8" w:rsidRPr="00523CC8" w:rsidTr="005A0A7F">
        <w:trPr>
          <w:trHeight w:hRule="exact" w:val="298"/>
          <w:jc w:val="center"/>
        </w:trPr>
        <w:tc>
          <w:tcPr>
            <w:tcW w:w="14179" w:type="dxa"/>
            <w:gridSpan w:val="7"/>
            <w:tcBorders>
              <w:top w:val="single" w:sz="4" w:space="0" w:color="auto"/>
              <w:left w:val="single" w:sz="4" w:space="0" w:color="auto"/>
              <w:right w:val="single" w:sz="4" w:space="0" w:color="auto"/>
            </w:tcBorders>
            <w:shd w:val="clear" w:color="auto" w:fill="D2EFEF"/>
          </w:tcPr>
          <w:p w:rsidR="007906A8" w:rsidRPr="00523CC8" w:rsidRDefault="007906A8" w:rsidP="007906A8">
            <w:pPr>
              <w:rPr>
                <w:sz w:val="18"/>
                <w:szCs w:val="18"/>
                <w:lang w:val="bg"/>
              </w:rPr>
            </w:pPr>
            <w:r w:rsidRPr="00523CC8">
              <w:rPr>
                <w:b/>
                <w:bCs/>
                <w:sz w:val="18"/>
                <w:szCs w:val="18"/>
                <w:lang w:val="bg"/>
              </w:rPr>
              <w:t>Структура и съдържание на регистъра</w:t>
            </w:r>
          </w:p>
        </w:tc>
      </w:tr>
      <w:tr w:rsidR="007906A8" w:rsidRPr="00523CC8" w:rsidTr="005A0A7F">
        <w:trPr>
          <w:trHeight w:hRule="exact" w:val="1382"/>
          <w:jc w:val="center"/>
        </w:trPr>
        <w:tc>
          <w:tcPr>
            <w:tcW w:w="1277"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p>
        </w:tc>
        <w:tc>
          <w:tcPr>
            <w:tcW w:w="1843"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 xml:space="preserve">Наименованието и целта </w:t>
            </w:r>
            <w:r w:rsidRPr="00523CC8">
              <w:rPr>
                <w:sz w:val="18"/>
                <w:szCs w:val="18"/>
                <w:lang w:val="bg"/>
              </w:rPr>
              <w:t>на Енергийната общност.</w:t>
            </w:r>
          </w:p>
        </w:tc>
        <w:tc>
          <w:tcPr>
            <w:tcW w:w="1982"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Идентификация на</w:t>
            </w:r>
          </w:p>
          <w:p w:rsidR="007906A8" w:rsidRPr="00523CC8" w:rsidRDefault="007906A8" w:rsidP="007906A8">
            <w:pPr>
              <w:rPr>
                <w:sz w:val="18"/>
                <w:szCs w:val="18"/>
                <w:lang w:val="bg"/>
              </w:rPr>
            </w:pPr>
            <w:r w:rsidRPr="00523CC8">
              <w:rPr>
                <w:b/>
                <w:bCs/>
                <w:sz w:val="18"/>
                <w:szCs w:val="18"/>
                <w:lang w:val="bg"/>
              </w:rPr>
              <w:t>Енергийна общност:</w:t>
            </w:r>
          </w:p>
          <w:p w:rsidR="007906A8" w:rsidRPr="00523CC8" w:rsidRDefault="007906A8" w:rsidP="00DF14F0">
            <w:pPr>
              <w:numPr>
                <w:ilvl w:val="0"/>
                <w:numId w:val="29"/>
              </w:numPr>
              <w:rPr>
                <w:sz w:val="18"/>
                <w:szCs w:val="18"/>
                <w:lang w:val="bg"/>
              </w:rPr>
            </w:pPr>
            <w:r w:rsidRPr="00523CC8">
              <w:rPr>
                <w:sz w:val="18"/>
                <w:szCs w:val="18"/>
                <w:lang w:val="bg"/>
              </w:rPr>
              <w:t>Наименование на енергийната общност.</w:t>
            </w:r>
          </w:p>
          <w:p w:rsidR="007906A8" w:rsidRPr="00523CC8" w:rsidRDefault="007906A8" w:rsidP="00DF14F0">
            <w:pPr>
              <w:numPr>
                <w:ilvl w:val="0"/>
                <w:numId w:val="29"/>
              </w:numPr>
              <w:rPr>
                <w:sz w:val="18"/>
                <w:szCs w:val="18"/>
                <w:lang w:val="bg"/>
              </w:rPr>
            </w:pPr>
            <w:r w:rsidRPr="00523CC8">
              <w:rPr>
                <w:sz w:val="18"/>
                <w:szCs w:val="18"/>
                <w:lang w:val="bg"/>
              </w:rPr>
              <w:t>Уникален идентификационен номер.</w:t>
            </w:r>
          </w:p>
        </w:tc>
        <w:tc>
          <w:tcPr>
            <w:tcW w:w="2981"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Наименование на Енергийната общност.</w:t>
            </w:r>
          </w:p>
        </w:tc>
        <w:tc>
          <w:tcPr>
            <w:tcW w:w="2030" w:type="dxa"/>
            <w:tcBorders>
              <w:top w:val="single" w:sz="4" w:space="0" w:color="auto"/>
              <w:lef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Наименование на Общността.</w:t>
            </w:r>
          </w:p>
          <w:p w:rsidR="007906A8" w:rsidRPr="00523CC8" w:rsidRDefault="007906A8" w:rsidP="007906A8">
            <w:pPr>
              <w:rPr>
                <w:sz w:val="18"/>
                <w:szCs w:val="18"/>
                <w:lang w:val="bg"/>
              </w:rPr>
            </w:pPr>
            <w:r w:rsidRPr="00523CC8">
              <w:rPr>
                <w:sz w:val="18"/>
                <w:szCs w:val="18"/>
                <w:lang w:val="bg"/>
              </w:rPr>
              <w:t>Дата на встъпване в длъжност</w:t>
            </w:r>
          </w:p>
        </w:tc>
        <w:tc>
          <w:tcPr>
            <w:tcW w:w="2021" w:type="dxa"/>
            <w:tcBorders>
              <w:top w:val="single" w:sz="4" w:space="0" w:color="auto"/>
              <w:left w:val="single" w:sz="4" w:space="0" w:color="auto"/>
            </w:tcBorders>
            <w:shd w:val="clear" w:color="auto" w:fill="D2D2D2"/>
          </w:tcPr>
          <w:p w:rsidR="007906A8" w:rsidRPr="00523CC8" w:rsidRDefault="007906A8" w:rsidP="007906A8">
            <w:pPr>
              <w:rPr>
                <w:sz w:val="18"/>
                <w:szCs w:val="18"/>
                <w:lang w:val="bg"/>
              </w:rPr>
            </w:pPr>
            <w:r w:rsidRPr="00523CC8">
              <w:rPr>
                <w:b/>
                <w:bCs/>
                <w:sz w:val="18"/>
                <w:szCs w:val="18"/>
                <w:lang w:val="bg"/>
              </w:rPr>
              <w:t>Идентификационни данни:</w:t>
            </w:r>
          </w:p>
          <w:p w:rsidR="007906A8" w:rsidRPr="00523CC8" w:rsidRDefault="007906A8" w:rsidP="00DF14F0">
            <w:pPr>
              <w:numPr>
                <w:ilvl w:val="0"/>
                <w:numId w:val="30"/>
              </w:numPr>
              <w:rPr>
                <w:sz w:val="18"/>
                <w:szCs w:val="18"/>
                <w:lang w:val="bg"/>
              </w:rPr>
            </w:pPr>
            <w:r w:rsidRPr="00523CC8">
              <w:rPr>
                <w:sz w:val="18"/>
                <w:szCs w:val="18"/>
                <w:lang w:val="bg"/>
              </w:rPr>
              <w:t>Наименование на енергийната общност.</w:t>
            </w:r>
          </w:p>
          <w:p w:rsidR="007906A8" w:rsidRPr="00523CC8" w:rsidRDefault="007906A8" w:rsidP="00DF14F0">
            <w:pPr>
              <w:numPr>
                <w:ilvl w:val="0"/>
                <w:numId w:val="30"/>
              </w:numPr>
              <w:rPr>
                <w:sz w:val="18"/>
                <w:szCs w:val="18"/>
                <w:lang w:val="bg"/>
              </w:rPr>
            </w:pPr>
            <w:r w:rsidRPr="00523CC8">
              <w:rPr>
                <w:sz w:val="18"/>
                <w:szCs w:val="18"/>
                <w:lang w:val="bg"/>
              </w:rPr>
              <w:t>Дата на установяване.</w:t>
            </w:r>
          </w:p>
        </w:tc>
        <w:tc>
          <w:tcPr>
            <w:tcW w:w="2045" w:type="dxa"/>
            <w:tcBorders>
              <w:top w:val="single" w:sz="4" w:space="0" w:color="auto"/>
              <w:left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Идентификационни данни:</w:t>
            </w:r>
          </w:p>
          <w:p w:rsidR="007906A8" w:rsidRPr="00523CC8" w:rsidRDefault="007906A8" w:rsidP="00DF14F0">
            <w:pPr>
              <w:numPr>
                <w:ilvl w:val="0"/>
                <w:numId w:val="31"/>
              </w:numPr>
              <w:rPr>
                <w:sz w:val="18"/>
                <w:szCs w:val="18"/>
                <w:lang w:val="bg"/>
              </w:rPr>
            </w:pPr>
            <w:r w:rsidRPr="00523CC8">
              <w:rPr>
                <w:sz w:val="18"/>
                <w:szCs w:val="18"/>
                <w:lang w:val="bg"/>
              </w:rPr>
              <w:t>Наименование на енергийната общност.</w:t>
            </w:r>
          </w:p>
          <w:p w:rsidR="007906A8" w:rsidRPr="00523CC8" w:rsidRDefault="007906A8" w:rsidP="00DF14F0">
            <w:pPr>
              <w:numPr>
                <w:ilvl w:val="0"/>
                <w:numId w:val="31"/>
              </w:numPr>
              <w:rPr>
                <w:sz w:val="18"/>
                <w:szCs w:val="18"/>
                <w:lang w:val="bg"/>
              </w:rPr>
            </w:pPr>
            <w:r w:rsidRPr="00523CC8">
              <w:rPr>
                <w:sz w:val="18"/>
                <w:szCs w:val="18"/>
                <w:lang w:val="bg"/>
              </w:rPr>
              <w:t>Дата на установяване</w:t>
            </w:r>
          </w:p>
        </w:tc>
      </w:tr>
      <w:tr w:rsidR="007906A8" w:rsidRPr="00523CC8" w:rsidTr="00523CC8">
        <w:trPr>
          <w:trHeight w:hRule="exact" w:val="1641"/>
          <w:jc w:val="center"/>
        </w:trPr>
        <w:tc>
          <w:tcPr>
            <w:tcW w:w="1277" w:type="dxa"/>
            <w:tcBorders>
              <w:top w:val="single" w:sz="4" w:space="0" w:color="auto"/>
              <w:left w:val="single" w:sz="4" w:space="0" w:color="auto"/>
              <w:bottom w:val="single" w:sz="4" w:space="0" w:color="auto"/>
            </w:tcBorders>
            <w:shd w:val="clear" w:color="auto" w:fill="auto"/>
          </w:tcPr>
          <w:p w:rsidR="007906A8" w:rsidRPr="00523CC8" w:rsidRDefault="007906A8" w:rsidP="007906A8">
            <w:pPr>
              <w:rPr>
                <w:sz w:val="18"/>
                <w:szCs w:val="18"/>
                <w:lang w:val="bg"/>
              </w:rPr>
            </w:pPr>
          </w:p>
        </w:tc>
        <w:tc>
          <w:tcPr>
            <w:tcW w:w="1843" w:type="dxa"/>
            <w:tcBorders>
              <w:top w:val="single" w:sz="4" w:space="0" w:color="auto"/>
              <w:left w:val="single" w:sz="4" w:space="0" w:color="auto"/>
              <w:bottom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 xml:space="preserve">Категорията </w:t>
            </w:r>
            <w:r w:rsidRPr="00523CC8">
              <w:rPr>
                <w:sz w:val="18"/>
                <w:szCs w:val="18"/>
                <w:lang w:val="bg"/>
              </w:rPr>
              <w:t>на Енергийната общност във връзка с отговорността на нейните членове.</w:t>
            </w:r>
          </w:p>
        </w:tc>
        <w:tc>
          <w:tcPr>
            <w:tcW w:w="1982" w:type="dxa"/>
            <w:tcBorders>
              <w:top w:val="single" w:sz="4" w:space="0" w:color="auto"/>
              <w:left w:val="single" w:sz="4" w:space="0" w:color="auto"/>
              <w:bottom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Правна форма:</w:t>
            </w:r>
          </w:p>
          <w:p w:rsidR="007906A8" w:rsidRPr="00523CC8" w:rsidRDefault="007906A8" w:rsidP="007906A8">
            <w:pPr>
              <w:rPr>
                <w:sz w:val="18"/>
                <w:szCs w:val="18"/>
                <w:lang w:val="bg"/>
              </w:rPr>
            </w:pPr>
            <w:r w:rsidRPr="00523CC8">
              <w:rPr>
                <w:sz w:val="18"/>
                <w:szCs w:val="18"/>
                <w:lang w:val="bg"/>
              </w:rPr>
              <w:t>- Вид на юридическото лице (напр. кооперация, сдружение и т.н.)</w:t>
            </w:r>
          </w:p>
        </w:tc>
        <w:tc>
          <w:tcPr>
            <w:tcW w:w="2981" w:type="dxa"/>
            <w:tcBorders>
              <w:top w:val="single" w:sz="4" w:space="0" w:color="auto"/>
              <w:left w:val="single" w:sz="4" w:space="0" w:color="auto"/>
              <w:bottom w:val="single" w:sz="4" w:space="0" w:color="auto"/>
            </w:tcBorders>
            <w:shd w:val="clear" w:color="auto" w:fill="D2D2D2"/>
          </w:tcPr>
          <w:p w:rsidR="007906A8" w:rsidRPr="00523CC8" w:rsidRDefault="007906A8" w:rsidP="007906A8">
            <w:pPr>
              <w:rPr>
                <w:sz w:val="18"/>
                <w:szCs w:val="18"/>
                <w:lang w:val="bg"/>
              </w:rPr>
            </w:pPr>
            <w:r w:rsidRPr="00523CC8">
              <w:rPr>
                <w:b/>
                <w:bCs/>
                <w:sz w:val="18"/>
                <w:szCs w:val="18"/>
                <w:lang w:val="bg"/>
              </w:rPr>
              <w:t>Правен статут:</w:t>
            </w:r>
          </w:p>
          <w:p w:rsidR="007906A8" w:rsidRPr="00523CC8" w:rsidRDefault="007906A8" w:rsidP="007906A8">
            <w:pPr>
              <w:rPr>
                <w:sz w:val="18"/>
                <w:szCs w:val="18"/>
                <w:lang w:val="bg"/>
              </w:rPr>
            </w:pPr>
            <w:r w:rsidRPr="00523CC8">
              <w:rPr>
                <w:sz w:val="18"/>
                <w:szCs w:val="18"/>
                <w:lang w:val="bg"/>
              </w:rPr>
              <w:t>- Вид на организацията (кооперация, сдружение, дружество и т.н.).</w:t>
            </w:r>
          </w:p>
        </w:tc>
        <w:tc>
          <w:tcPr>
            <w:tcW w:w="2030" w:type="dxa"/>
            <w:tcBorders>
              <w:top w:val="single" w:sz="4" w:space="0" w:color="auto"/>
              <w:left w:val="single" w:sz="4" w:space="0" w:color="auto"/>
              <w:bottom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 xml:space="preserve">Енергийни кооперации и общности: </w:t>
            </w:r>
            <w:r w:rsidRPr="00523CC8">
              <w:rPr>
                <w:sz w:val="18"/>
                <w:szCs w:val="18"/>
                <w:lang w:val="bg"/>
              </w:rPr>
              <w:t>Те са регистрирани като оператори, при условие че притежават или управляват енергийни съоръжения.</w:t>
            </w:r>
          </w:p>
        </w:tc>
        <w:tc>
          <w:tcPr>
            <w:tcW w:w="2021" w:type="dxa"/>
            <w:tcBorders>
              <w:top w:val="single" w:sz="4" w:space="0" w:color="auto"/>
              <w:left w:val="single" w:sz="4" w:space="0" w:color="auto"/>
              <w:bottom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 xml:space="preserve">Вид на организацията: </w:t>
            </w:r>
            <w:r w:rsidRPr="00523CC8">
              <w:rPr>
                <w:sz w:val="18"/>
                <w:szCs w:val="18"/>
                <w:lang w:val="bg"/>
              </w:rPr>
              <w:t>(напр. кооперация, сдружение и др.)</w:t>
            </w:r>
          </w:p>
        </w:tc>
        <w:tc>
          <w:tcPr>
            <w:tcW w:w="2045" w:type="dxa"/>
            <w:tcBorders>
              <w:top w:val="single" w:sz="4" w:space="0" w:color="auto"/>
              <w:left w:val="single" w:sz="4" w:space="0" w:color="auto"/>
              <w:bottom w:val="single" w:sz="4" w:space="0" w:color="auto"/>
              <w:right w:val="single" w:sz="4" w:space="0" w:color="auto"/>
            </w:tcBorders>
            <w:shd w:val="clear" w:color="auto" w:fill="auto"/>
          </w:tcPr>
          <w:p w:rsidR="007906A8" w:rsidRPr="00523CC8" w:rsidRDefault="007906A8" w:rsidP="007906A8">
            <w:pPr>
              <w:rPr>
                <w:sz w:val="18"/>
                <w:szCs w:val="18"/>
                <w:lang w:val="bg"/>
              </w:rPr>
            </w:pPr>
            <w:r w:rsidRPr="00523CC8">
              <w:rPr>
                <w:b/>
                <w:bCs/>
                <w:sz w:val="18"/>
                <w:szCs w:val="18"/>
                <w:lang w:val="bg"/>
              </w:rPr>
              <w:t>Вид на организацията:</w:t>
            </w:r>
          </w:p>
        </w:tc>
      </w:tr>
    </w:tbl>
    <w:p w:rsidR="007906A8" w:rsidRPr="007906A8" w:rsidRDefault="007906A8" w:rsidP="007906A8">
      <w:pPr>
        <w:rPr>
          <w:lang w:val="bg"/>
        </w:rPr>
      </w:pPr>
      <w:r w:rsidRPr="007906A8">
        <w:rPr>
          <w:lang w:val="bg"/>
        </w:rPr>
        <w:br w:type="page"/>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7"/>
        <w:gridCol w:w="1843"/>
        <w:gridCol w:w="1982"/>
        <w:gridCol w:w="2981"/>
        <w:gridCol w:w="2030"/>
        <w:gridCol w:w="2021"/>
        <w:gridCol w:w="2030"/>
      </w:tblGrid>
      <w:tr w:rsidR="007906A8" w:rsidRPr="00523CC8" w:rsidTr="00843A5F">
        <w:trPr>
          <w:trHeight w:hRule="exact" w:val="4392"/>
          <w:jc w:val="center"/>
        </w:trPr>
        <w:tc>
          <w:tcPr>
            <w:tcW w:w="1277" w:type="dxa"/>
            <w:shd w:val="clear" w:color="auto" w:fill="auto"/>
          </w:tcPr>
          <w:p w:rsidR="007906A8" w:rsidRPr="00523CC8" w:rsidRDefault="007906A8" w:rsidP="007906A8">
            <w:pPr>
              <w:rPr>
                <w:sz w:val="18"/>
                <w:szCs w:val="18"/>
                <w:lang w:val="bg"/>
              </w:rPr>
            </w:pPr>
          </w:p>
        </w:tc>
        <w:tc>
          <w:tcPr>
            <w:tcW w:w="1843" w:type="dxa"/>
            <w:shd w:val="clear" w:color="auto" w:fill="auto"/>
          </w:tcPr>
          <w:p w:rsidR="007906A8" w:rsidRPr="00523CC8" w:rsidRDefault="007906A8" w:rsidP="007906A8">
            <w:pPr>
              <w:rPr>
                <w:sz w:val="18"/>
                <w:szCs w:val="18"/>
                <w:lang w:val="bg"/>
              </w:rPr>
            </w:pPr>
          </w:p>
        </w:tc>
        <w:tc>
          <w:tcPr>
            <w:tcW w:w="1982" w:type="dxa"/>
            <w:shd w:val="clear" w:color="auto" w:fill="auto"/>
          </w:tcPr>
          <w:p w:rsidR="007906A8" w:rsidRPr="00523CC8" w:rsidRDefault="007906A8" w:rsidP="007906A8">
            <w:pPr>
              <w:rPr>
                <w:sz w:val="18"/>
                <w:szCs w:val="18"/>
                <w:lang w:val="bg"/>
              </w:rPr>
            </w:pPr>
            <w:r w:rsidRPr="00523CC8">
              <w:rPr>
                <w:b/>
                <w:bCs/>
                <w:sz w:val="18"/>
                <w:szCs w:val="18"/>
                <w:lang w:val="bg"/>
              </w:rPr>
              <w:t>Цел и дейности:</w:t>
            </w:r>
          </w:p>
          <w:p w:rsidR="007906A8" w:rsidRPr="00523CC8" w:rsidRDefault="007906A8" w:rsidP="00DF14F0">
            <w:pPr>
              <w:numPr>
                <w:ilvl w:val="0"/>
                <w:numId w:val="32"/>
              </w:numPr>
              <w:rPr>
                <w:sz w:val="18"/>
                <w:szCs w:val="18"/>
                <w:lang w:val="bg"/>
              </w:rPr>
            </w:pPr>
            <w:r w:rsidRPr="00523CC8">
              <w:rPr>
                <w:sz w:val="18"/>
                <w:szCs w:val="18"/>
                <w:lang w:val="bg"/>
              </w:rPr>
              <w:t>Основни цели на енергийната общност.</w:t>
            </w:r>
          </w:p>
          <w:p w:rsidR="007906A8" w:rsidRPr="00523CC8" w:rsidRDefault="007906A8" w:rsidP="00DF14F0">
            <w:pPr>
              <w:numPr>
                <w:ilvl w:val="0"/>
                <w:numId w:val="32"/>
              </w:numPr>
              <w:rPr>
                <w:sz w:val="18"/>
                <w:szCs w:val="18"/>
                <w:lang w:val="bg"/>
              </w:rPr>
            </w:pPr>
            <w:r w:rsidRPr="00523CC8">
              <w:rPr>
                <w:sz w:val="18"/>
                <w:szCs w:val="18"/>
                <w:lang w:val="bg"/>
              </w:rPr>
              <w:t>Описание на планираните дейности (напр. производство на енергия от възобновяеми източници).</w:t>
            </w:r>
          </w:p>
        </w:tc>
        <w:tc>
          <w:tcPr>
            <w:tcW w:w="2981" w:type="dxa"/>
            <w:shd w:val="clear" w:color="auto" w:fill="D2D2D2"/>
            <w:vAlign w:val="bottom"/>
          </w:tcPr>
          <w:p w:rsidR="007906A8" w:rsidRPr="00523CC8" w:rsidRDefault="007906A8" w:rsidP="007906A8">
            <w:pPr>
              <w:rPr>
                <w:sz w:val="18"/>
                <w:szCs w:val="18"/>
                <w:lang w:val="bg"/>
              </w:rPr>
            </w:pPr>
            <w:r w:rsidRPr="00523CC8">
              <w:rPr>
                <w:b/>
                <w:bCs/>
                <w:sz w:val="18"/>
                <w:szCs w:val="18"/>
                <w:lang w:val="bg"/>
              </w:rPr>
              <w:t>Тип на общността:</w:t>
            </w:r>
          </w:p>
          <w:p w:rsidR="007906A8" w:rsidRPr="00523CC8" w:rsidRDefault="007906A8" w:rsidP="007906A8">
            <w:pPr>
              <w:rPr>
                <w:sz w:val="18"/>
                <w:szCs w:val="18"/>
                <w:lang w:val="bg"/>
              </w:rPr>
            </w:pPr>
            <w:r w:rsidRPr="00523CC8">
              <w:rPr>
                <w:sz w:val="18"/>
                <w:szCs w:val="18"/>
                <w:lang w:val="bg"/>
              </w:rPr>
              <w:t>Общност за възобновяема енергия (REC), насърчаваща местните възобновяеми източници. Гражданска енергийна общност (CEC), която може да включва както възобновяеми, така и невъзобновяеми източници.</w:t>
            </w:r>
          </w:p>
          <w:p w:rsidR="007906A8" w:rsidRPr="00523CC8" w:rsidRDefault="007906A8" w:rsidP="007906A8">
            <w:pPr>
              <w:rPr>
                <w:sz w:val="18"/>
                <w:szCs w:val="18"/>
                <w:lang w:val="bg"/>
              </w:rPr>
            </w:pPr>
            <w:r w:rsidRPr="00523CC8">
              <w:rPr>
                <w:sz w:val="18"/>
                <w:szCs w:val="18"/>
                <w:lang w:val="bg"/>
              </w:rPr>
              <w:t>Производствени съоръжения:</w:t>
            </w:r>
          </w:p>
          <w:p w:rsidR="007906A8" w:rsidRPr="00523CC8" w:rsidRDefault="007906A8" w:rsidP="007906A8">
            <w:pPr>
              <w:rPr>
                <w:sz w:val="18"/>
                <w:szCs w:val="18"/>
                <w:lang w:val="bg"/>
              </w:rPr>
            </w:pPr>
            <w:r w:rsidRPr="00523CC8">
              <w:rPr>
                <w:sz w:val="18"/>
                <w:szCs w:val="18"/>
                <w:lang w:val="bg"/>
              </w:rPr>
              <w:t>Тип (слънчеви панели, вятърни турбини, инсталации за биогаз и др.).</w:t>
            </w:r>
          </w:p>
          <w:p w:rsidR="007906A8" w:rsidRPr="00523CC8" w:rsidRDefault="007906A8" w:rsidP="007906A8">
            <w:pPr>
              <w:rPr>
                <w:sz w:val="18"/>
                <w:szCs w:val="18"/>
                <w:lang w:val="bg"/>
              </w:rPr>
            </w:pPr>
            <w:r w:rsidRPr="00523CC8">
              <w:rPr>
                <w:sz w:val="18"/>
                <w:szCs w:val="18"/>
                <w:lang w:val="bg"/>
              </w:rPr>
              <w:t>Инсталирана мощност (в kW или MW).</w:t>
            </w:r>
          </w:p>
          <w:p w:rsidR="007906A8" w:rsidRPr="00523CC8" w:rsidRDefault="007906A8" w:rsidP="007906A8">
            <w:pPr>
              <w:rPr>
                <w:sz w:val="18"/>
                <w:szCs w:val="18"/>
                <w:lang w:val="bg"/>
              </w:rPr>
            </w:pPr>
            <w:r w:rsidRPr="00523CC8">
              <w:rPr>
                <w:sz w:val="18"/>
                <w:szCs w:val="18"/>
                <w:lang w:val="bg"/>
              </w:rPr>
              <w:t>Дата на въвеждане в експлоатация</w:t>
            </w:r>
          </w:p>
        </w:tc>
        <w:tc>
          <w:tcPr>
            <w:tcW w:w="2030" w:type="dxa"/>
            <w:shd w:val="clear" w:color="auto" w:fill="auto"/>
          </w:tcPr>
          <w:p w:rsidR="007906A8" w:rsidRPr="00523CC8" w:rsidRDefault="007906A8" w:rsidP="007906A8">
            <w:pPr>
              <w:rPr>
                <w:sz w:val="18"/>
                <w:szCs w:val="18"/>
                <w:lang w:val="bg"/>
              </w:rPr>
            </w:pPr>
            <w:r w:rsidRPr="00523CC8">
              <w:rPr>
                <w:b/>
                <w:bCs/>
                <w:sz w:val="18"/>
                <w:szCs w:val="18"/>
                <w:lang w:val="bg"/>
              </w:rPr>
              <w:t>Производство на енергия</w:t>
            </w:r>
          </w:p>
          <w:p w:rsidR="007906A8" w:rsidRPr="00523CC8" w:rsidRDefault="007906A8" w:rsidP="007906A8">
            <w:pPr>
              <w:rPr>
                <w:sz w:val="18"/>
                <w:szCs w:val="18"/>
                <w:lang w:val="bg"/>
              </w:rPr>
            </w:pPr>
            <w:r w:rsidRPr="00523CC8">
              <w:rPr>
                <w:b/>
                <w:bCs/>
                <w:sz w:val="18"/>
                <w:szCs w:val="18"/>
                <w:lang w:val="bg"/>
              </w:rPr>
              <w:t>Съоръжения:</w:t>
            </w:r>
          </w:p>
          <w:p w:rsidR="007906A8" w:rsidRPr="00523CC8" w:rsidRDefault="007906A8" w:rsidP="00DF14F0">
            <w:pPr>
              <w:numPr>
                <w:ilvl w:val="0"/>
                <w:numId w:val="33"/>
              </w:numPr>
              <w:rPr>
                <w:sz w:val="18"/>
                <w:szCs w:val="18"/>
                <w:lang w:val="bg"/>
              </w:rPr>
            </w:pPr>
            <w:r w:rsidRPr="00523CC8">
              <w:rPr>
                <w:sz w:val="18"/>
                <w:szCs w:val="18"/>
                <w:lang w:val="bg"/>
              </w:rPr>
              <w:t>Фотоволтаици (слънчеви панели).</w:t>
            </w:r>
          </w:p>
          <w:p w:rsidR="007906A8" w:rsidRPr="00523CC8" w:rsidRDefault="007906A8" w:rsidP="00DF14F0">
            <w:pPr>
              <w:numPr>
                <w:ilvl w:val="0"/>
                <w:numId w:val="33"/>
              </w:numPr>
              <w:rPr>
                <w:sz w:val="18"/>
                <w:szCs w:val="18"/>
                <w:lang w:val="bg"/>
              </w:rPr>
            </w:pPr>
            <w:r w:rsidRPr="00523CC8">
              <w:rPr>
                <w:sz w:val="18"/>
                <w:szCs w:val="18"/>
                <w:lang w:val="bg"/>
              </w:rPr>
              <w:t>Вятърни турбини.</w:t>
            </w:r>
          </w:p>
          <w:p w:rsidR="007906A8" w:rsidRPr="00523CC8" w:rsidRDefault="007906A8" w:rsidP="00DF14F0">
            <w:pPr>
              <w:numPr>
                <w:ilvl w:val="0"/>
                <w:numId w:val="33"/>
              </w:numPr>
              <w:rPr>
                <w:sz w:val="18"/>
                <w:szCs w:val="18"/>
                <w:lang w:val="bg"/>
              </w:rPr>
            </w:pPr>
            <w:r w:rsidRPr="00523CC8">
              <w:rPr>
                <w:sz w:val="18"/>
                <w:szCs w:val="18"/>
                <w:lang w:val="bg"/>
              </w:rPr>
              <w:t>Водноелектрически централи.</w:t>
            </w:r>
          </w:p>
          <w:p w:rsidR="007906A8" w:rsidRPr="00523CC8" w:rsidRDefault="007906A8" w:rsidP="00DF14F0">
            <w:pPr>
              <w:numPr>
                <w:ilvl w:val="0"/>
                <w:numId w:val="33"/>
              </w:numPr>
              <w:rPr>
                <w:sz w:val="18"/>
                <w:szCs w:val="18"/>
                <w:lang w:val="bg"/>
              </w:rPr>
            </w:pPr>
            <w:r w:rsidRPr="00523CC8">
              <w:rPr>
                <w:sz w:val="18"/>
                <w:szCs w:val="18"/>
                <w:lang w:val="bg"/>
              </w:rPr>
              <w:t>Инсталации за производство на биогаз и биомаса.</w:t>
            </w:r>
          </w:p>
        </w:tc>
        <w:tc>
          <w:tcPr>
            <w:tcW w:w="2021" w:type="dxa"/>
            <w:shd w:val="clear" w:color="auto" w:fill="auto"/>
          </w:tcPr>
          <w:p w:rsidR="007906A8" w:rsidRPr="00523CC8" w:rsidRDefault="007906A8" w:rsidP="007906A8">
            <w:pPr>
              <w:rPr>
                <w:sz w:val="18"/>
                <w:szCs w:val="18"/>
                <w:lang w:val="bg"/>
              </w:rPr>
            </w:pPr>
            <w:r w:rsidRPr="00523CC8">
              <w:rPr>
                <w:b/>
                <w:bCs/>
                <w:sz w:val="18"/>
                <w:szCs w:val="18"/>
                <w:lang w:val="bg"/>
              </w:rPr>
              <w:t>Описание на проектите:</w:t>
            </w:r>
          </w:p>
          <w:p w:rsidR="007906A8" w:rsidRPr="00523CC8" w:rsidRDefault="007906A8" w:rsidP="00DF14F0">
            <w:pPr>
              <w:numPr>
                <w:ilvl w:val="0"/>
                <w:numId w:val="34"/>
              </w:numPr>
              <w:rPr>
                <w:sz w:val="18"/>
                <w:szCs w:val="18"/>
                <w:lang w:val="bg"/>
              </w:rPr>
            </w:pPr>
            <w:r w:rsidRPr="00523CC8">
              <w:rPr>
                <w:sz w:val="18"/>
                <w:szCs w:val="18"/>
                <w:lang w:val="bg"/>
              </w:rPr>
              <w:t>Информация за текущи и планирани проекти, свързани с възобновяеми енергийни източници.</w:t>
            </w:r>
          </w:p>
          <w:p w:rsidR="007906A8" w:rsidRPr="00523CC8" w:rsidRDefault="007906A8" w:rsidP="00DF14F0">
            <w:pPr>
              <w:numPr>
                <w:ilvl w:val="0"/>
                <w:numId w:val="34"/>
              </w:numPr>
              <w:rPr>
                <w:sz w:val="18"/>
                <w:szCs w:val="18"/>
                <w:lang w:val="bg"/>
              </w:rPr>
            </w:pPr>
            <w:r w:rsidRPr="00523CC8">
              <w:rPr>
                <w:sz w:val="18"/>
                <w:szCs w:val="18"/>
                <w:lang w:val="bg"/>
              </w:rPr>
              <w:t>Видове използвани технологии (напр. слънчеви, вятърни, водноелектрически).</w:t>
            </w:r>
          </w:p>
        </w:tc>
        <w:tc>
          <w:tcPr>
            <w:tcW w:w="2030" w:type="dxa"/>
            <w:shd w:val="clear" w:color="auto" w:fill="auto"/>
          </w:tcPr>
          <w:p w:rsidR="007906A8" w:rsidRPr="00523CC8" w:rsidRDefault="007906A8" w:rsidP="007906A8">
            <w:pPr>
              <w:rPr>
                <w:sz w:val="18"/>
                <w:szCs w:val="18"/>
                <w:lang w:val="bg"/>
              </w:rPr>
            </w:pPr>
            <w:r w:rsidRPr="00523CC8">
              <w:rPr>
                <w:b/>
                <w:bCs/>
                <w:sz w:val="18"/>
                <w:szCs w:val="18"/>
                <w:lang w:val="bg"/>
              </w:rPr>
              <w:t xml:space="preserve">Описание на проектите: </w:t>
            </w:r>
            <w:r w:rsidRPr="00523CC8">
              <w:rPr>
                <w:sz w:val="18"/>
                <w:szCs w:val="18"/>
                <w:lang w:val="bg"/>
              </w:rPr>
              <w:t>- Информация за текущи и планирани проекти, свързани с възобновяеми енергийни източници.</w:t>
            </w:r>
          </w:p>
          <w:p w:rsidR="007906A8" w:rsidRPr="00523CC8" w:rsidRDefault="007906A8" w:rsidP="007906A8">
            <w:pPr>
              <w:rPr>
                <w:sz w:val="18"/>
                <w:szCs w:val="18"/>
                <w:lang w:val="bg"/>
              </w:rPr>
            </w:pPr>
            <w:r w:rsidRPr="00523CC8">
              <w:rPr>
                <w:sz w:val="18"/>
                <w:szCs w:val="18"/>
                <w:lang w:val="bg"/>
              </w:rPr>
              <w:t>- Видове използвани технологии (напр. слънчеви, вятърни, водноелектрически).</w:t>
            </w:r>
          </w:p>
        </w:tc>
      </w:tr>
      <w:tr w:rsidR="007906A8" w:rsidRPr="00523CC8" w:rsidTr="00843A5F">
        <w:trPr>
          <w:trHeight w:hRule="exact" w:val="3272"/>
          <w:jc w:val="center"/>
        </w:trPr>
        <w:tc>
          <w:tcPr>
            <w:tcW w:w="1277" w:type="dxa"/>
            <w:shd w:val="clear" w:color="auto" w:fill="auto"/>
          </w:tcPr>
          <w:p w:rsidR="007906A8" w:rsidRPr="00523CC8" w:rsidRDefault="007906A8" w:rsidP="007906A8">
            <w:pPr>
              <w:rPr>
                <w:sz w:val="18"/>
                <w:szCs w:val="18"/>
                <w:lang w:val="bg"/>
              </w:rPr>
            </w:pPr>
          </w:p>
        </w:tc>
        <w:tc>
          <w:tcPr>
            <w:tcW w:w="1843" w:type="dxa"/>
            <w:shd w:val="clear" w:color="auto" w:fill="auto"/>
          </w:tcPr>
          <w:p w:rsidR="007906A8" w:rsidRPr="00523CC8" w:rsidRDefault="007906A8" w:rsidP="007906A8">
            <w:pPr>
              <w:rPr>
                <w:sz w:val="18"/>
                <w:szCs w:val="18"/>
                <w:lang w:val="bg"/>
              </w:rPr>
            </w:pPr>
            <w:r w:rsidRPr="00523CC8">
              <w:rPr>
                <w:b/>
                <w:bCs/>
                <w:sz w:val="18"/>
                <w:szCs w:val="18"/>
                <w:lang w:val="bg"/>
              </w:rPr>
              <w:t xml:space="preserve">Имената на законните представители </w:t>
            </w:r>
            <w:r w:rsidRPr="00523CC8">
              <w:rPr>
                <w:sz w:val="18"/>
                <w:szCs w:val="18"/>
                <w:lang w:val="bg"/>
              </w:rPr>
              <w:t>на Енергийната общност</w:t>
            </w:r>
          </w:p>
        </w:tc>
        <w:tc>
          <w:tcPr>
            <w:tcW w:w="1982" w:type="dxa"/>
            <w:shd w:val="clear" w:color="auto" w:fill="auto"/>
          </w:tcPr>
          <w:p w:rsidR="007906A8" w:rsidRPr="00523CC8" w:rsidRDefault="007906A8" w:rsidP="007906A8">
            <w:pPr>
              <w:rPr>
                <w:sz w:val="18"/>
                <w:szCs w:val="18"/>
                <w:lang w:val="bg"/>
              </w:rPr>
            </w:pPr>
            <w:r w:rsidRPr="00523CC8">
              <w:rPr>
                <w:b/>
                <w:bCs/>
                <w:sz w:val="18"/>
                <w:szCs w:val="18"/>
                <w:lang w:val="bg"/>
              </w:rPr>
              <w:t>Членове на Общността:</w:t>
            </w:r>
          </w:p>
          <w:p w:rsidR="007906A8" w:rsidRPr="00523CC8" w:rsidRDefault="007906A8" w:rsidP="00DF14F0">
            <w:pPr>
              <w:numPr>
                <w:ilvl w:val="0"/>
                <w:numId w:val="35"/>
              </w:numPr>
              <w:rPr>
                <w:sz w:val="18"/>
                <w:szCs w:val="18"/>
                <w:lang w:val="bg"/>
              </w:rPr>
            </w:pPr>
            <w:r w:rsidRPr="00523CC8">
              <w:rPr>
                <w:sz w:val="18"/>
                <w:szCs w:val="18"/>
                <w:lang w:val="bg"/>
              </w:rPr>
              <w:t>Списък на членовете, включително физически и юридически лица.</w:t>
            </w:r>
          </w:p>
          <w:p w:rsidR="007906A8" w:rsidRPr="00523CC8" w:rsidRDefault="007906A8" w:rsidP="00DF14F0">
            <w:pPr>
              <w:numPr>
                <w:ilvl w:val="0"/>
                <w:numId w:val="35"/>
              </w:numPr>
              <w:rPr>
                <w:sz w:val="18"/>
                <w:szCs w:val="18"/>
                <w:lang w:val="bg"/>
              </w:rPr>
            </w:pPr>
            <w:r w:rsidRPr="00523CC8">
              <w:rPr>
                <w:sz w:val="18"/>
                <w:szCs w:val="18"/>
                <w:lang w:val="bg"/>
              </w:rPr>
              <w:t>Информация за техните вноски и задължения.</w:t>
            </w:r>
          </w:p>
        </w:tc>
        <w:tc>
          <w:tcPr>
            <w:tcW w:w="2981" w:type="dxa"/>
            <w:shd w:val="clear" w:color="auto" w:fill="D2D2D2"/>
          </w:tcPr>
          <w:p w:rsidR="007906A8" w:rsidRPr="00523CC8" w:rsidRDefault="007906A8" w:rsidP="007906A8">
            <w:pPr>
              <w:rPr>
                <w:sz w:val="18"/>
                <w:szCs w:val="18"/>
                <w:lang w:val="bg"/>
              </w:rPr>
            </w:pPr>
            <w:r w:rsidRPr="00523CC8">
              <w:rPr>
                <w:b/>
                <w:bCs/>
                <w:sz w:val="18"/>
                <w:szCs w:val="18"/>
                <w:lang w:val="bg"/>
              </w:rPr>
              <w:t>Брой участници:</w:t>
            </w:r>
          </w:p>
          <w:p w:rsidR="007906A8" w:rsidRPr="00523CC8" w:rsidRDefault="007906A8" w:rsidP="00DF14F0">
            <w:pPr>
              <w:numPr>
                <w:ilvl w:val="0"/>
                <w:numId w:val="36"/>
              </w:numPr>
              <w:rPr>
                <w:sz w:val="18"/>
                <w:szCs w:val="18"/>
                <w:lang w:val="bg"/>
              </w:rPr>
            </w:pPr>
            <w:r w:rsidRPr="00523CC8">
              <w:rPr>
                <w:sz w:val="18"/>
                <w:szCs w:val="18"/>
                <w:lang w:val="bg"/>
              </w:rPr>
              <w:t>Брой домакинства, предприятия или други субекти, които са част от общността.</w:t>
            </w:r>
          </w:p>
          <w:p w:rsidR="007906A8" w:rsidRPr="00523CC8" w:rsidRDefault="007906A8" w:rsidP="007906A8">
            <w:pPr>
              <w:rPr>
                <w:sz w:val="18"/>
                <w:szCs w:val="18"/>
                <w:lang w:val="bg"/>
              </w:rPr>
            </w:pPr>
            <w:r w:rsidRPr="00523CC8">
              <w:rPr>
                <w:b/>
                <w:bCs/>
                <w:sz w:val="18"/>
                <w:szCs w:val="18"/>
                <w:lang w:val="bg"/>
              </w:rPr>
              <w:t>Категории участници:</w:t>
            </w:r>
          </w:p>
          <w:p w:rsidR="007906A8" w:rsidRPr="00523CC8" w:rsidRDefault="007906A8" w:rsidP="00DF14F0">
            <w:pPr>
              <w:numPr>
                <w:ilvl w:val="0"/>
                <w:numId w:val="36"/>
              </w:numPr>
              <w:rPr>
                <w:sz w:val="18"/>
                <w:szCs w:val="18"/>
                <w:lang w:val="bg"/>
              </w:rPr>
            </w:pPr>
            <w:r w:rsidRPr="00523CC8">
              <w:rPr>
                <w:sz w:val="18"/>
                <w:szCs w:val="18"/>
                <w:lang w:val="bg"/>
              </w:rPr>
              <w:t>Индивидуални лица.</w:t>
            </w:r>
          </w:p>
          <w:p w:rsidR="007906A8" w:rsidRPr="00523CC8" w:rsidRDefault="007906A8" w:rsidP="00DF14F0">
            <w:pPr>
              <w:numPr>
                <w:ilvl w:val="0"/>
                <w:numId w:val="36"/>
              </w:numPr>
              <w:rPr>
                <w:sz w:val="18"/>
                <w:szCs w:val="18"/>
                <w:lang w:val="bg"/>
              </w:rPr>
            </w:pPr>
            <w:r w:rsidRPr="00523CC8">
              <w:rPr>
                <w:sz w:val="18"/>
                <w:szCs w:val="18"/>
                <w:lang w:val="bg"/>
              </w:rPr>
              <w:t>Малки и средни предприятия (МСП).</w:t>
            </w:r>
          </w:p>
          <w:p w:rsidR="007906A8" w:rsidRPr="00523CC8" w:rsidRDefault="007906A8" w:rsidP="00DF14F0">
            <w:pPr>
              <w:numPr>
                <w:ilvl w:val="0"/>
                <w:numId w:val="36"/>
              </w:numPr>
              <w:rPr>
                <w:sz w:val="18"/>
                <w:szCs w:val="18"/>
                <w:lang w:val="bg"/>
              </w:rPr>
            </w:pPr>
            <w:r w:rsidRPr="00523CC8">
              <w:rPr>
                <w:sz w:val="18"/>
                <w:szCs w:val="18"/>
                <w:lang w:val="bg"/>
              </w:rPr>
              <w:t>Публични институции (напр. училища, общини).</w:t>
            </w:r>
          </w:p>
        </w:tc>
        <w:tc>
          <w:tcPr>
            <w:tcW w:w="2030" w:type="dxa"/>
            <w:shd w:val="clear" w:color="auto" w:fill="auto"/>
          </w:tcPr>
          <w:p w:rsidR="007906A8" w:rsidRPr="00523CC8" w:rsidRDefault="007906A8" w:rsidP="007906A8">
            <w:pPr>
              <w:rPr>
                <w:sz w:val="18"/>
                <w:szCs w:val="18"/>
                <w:lang w:val="bg"/>
              </w:rPr>
            </w:pPr>
          </w:p>
        </w:tc>
        <w:tc>
          <w:tcPr>
            <w:tcW w:w="2021" w:type="dxa"/>
            <w:shd w:val="clear" w:color="auto" w:fill="auto"/>
          </w:tcPr>
          <w:p w:rsidR="007906A8" w:rsidRPr="00523CC8" w:rsidRDefault="007906A8" w:rsidP="007906A8">
            <w:pPr>
              <w:rPr>
                <w:sz w:val="18"/>
                <w:szCs w:val="18"/>
                <w:lang w:val="bg"/>
              </w:rPr>
            </w:pPr>
            <w:r w:rsidRPr="00523CC8">
              <w:rPr>
                <w:b/>
                <w:bCs/>
                <w:sz w:val="18"/>
                <w:szCs w:val="18"/>
                <w:lang w:val="bg"/>
              </w:rPr>
              <w:t>Членство:</w:t>
            </w:r>
          </w:p>
          <w:p w:rsidR="007906A8" w:rsidRPr="00523CC8" w:rsidRDefault="007906A8" w:rsidP="007906A8">
            <w:pPr>
              <w:rPr>
                <w:sz w:val="18"/>
                <w:szCs w:val="18"/>
                <w:lang w:val="bg"/>
              </w:rPr>
            </w:pPr>
            <w:r w:rsidRPr="00523CC8">
              <w:rPr>
                <w:sz w:val="18"/>
                <w:szCs w:val="18"/>
                <w:lang w:val="bg"/>
              </w:rPr>
              <w:t>Брой членове и информация за участниците в общността.</w:t>
            </w:r>
          </w:p>
        </w:tc>
        <w:tc>
          <w:tcPr>
            <w:tcW w:w="2030" w:type="dxa"/>
            <w:shd w:val="clear" w:color="auto" w:fill="auto"/>
          </w:tcPr>
          <w:p w:rsidR="007906A8" w:rsidRPr="00523CC8" w:rsidRDefault="007906A8" w:rsidP="007906A8">
            <w:pPr>
              <w:rPr>
                <w:sz w:val="18"/>
                <w:szCs w:val="18"/>
                <w:lang w:val="bg"/>
              </w:rPr>
            </w:pPr>
            <w:r w:rsidRPr="00523CC8">
              <w:rPr>
                <w:b/>
                <w:bCs/>
                <w:sz w:val="18"/>
                <w:szCs w:val="18"/>
                <w:lang w:val="bg"/>
              </w:rPr>
              <w:t>Членство:</w:t>
            </w:r>
          </w:p>
          <w:p w:rsidR="007906A8" w:rsidRPr="00523CC8" w:rsidRDefault="007906A8" w:rsidP="007906A8">
            <w:pPr>
              <w:rPr>
                <w:sz w:val="18"/>
                <w:szCs w:val="18"/>
                <w:lang w:val="bg"/>
              </w:rPr>
            </w:pPr>
            <w:r w:rsidRPr="00523CC8">
              <w:rPr>
                <w:sz w:val="18"/>
                <w:szCs w:val="18"/>
                <w:lang w:val="bg"/>
              </w:rPr>
              <w:t>Брой членове и информация за участниците в общността.</w:t>
            </w:r>
          </w:p>
        </w:tc>
      </w:tr>
      <w:tr w:rsidR="007906A8" w:rsidRPr="00523CC8" w:rsidTr="00843A5F">
        <w:trPr>
          <w:trHeight w:hRule="exact" w:val="2213"/>
          <w:jc w:val="center"/>
        </w:trPr>
        <w:tc>
          <w:tcPr>
            <w:tcW w:w="1277" w:type="dxa"/>
            <w:shd w:val="clear" w:color="auto" w:fill="auto"/>
          </w:tcPr>
          <w:p w:rsidR="007906A8" w:rsidRPr="00523CC8" w:rsidRDefault="007906A8" w:rsidP="007906A8">
            <w:pPr>
              <w:rPr>
                <w:sz w:val="18"/>
                <w:szCs w:val="18"/>
                <w:lang w:val="bg"/>
              </w:rPr>
            </w:pPr>
          </w:p>
        </w:tc>
        <w:tc>
          <w:tcPr>
            <w:tcW w:w="1843" w:type="dxa"/>
            <w:shd w:val="clear" w:color="auto" w:fill="auto"/>
          </w:tcPr>
          <w:p w:rsidR="007906A8" w:rsidRPr="00523CC8" w:rsidRDefault="007906A8" w:rsidP="007906A8">
            <w:pPr>
              <w:rPr>
                <w:sz w:val="18"/>
                <w:szCs w:val="18"/>
                <w:lang w:val="bg"/>
              </w:rPr>
            </w:pPr>
          </w:p>
        </w:tc>
        <w:tc>
          <w:tcPr>
            <w:tcW w:w="1982" w:type="dxa"/>
            <w:shd w:val="clear" w:color="auto" w:fill="auto"/>
          </w:tcPr>
          <w:p w:rsidR="007906A8" w:rsidRPr="00523CC8" w:rsidRDefault="007906A8" w:rsidP="007906A8">
            <w:pPr>
              <w:rPr>
                <w:sz w:val="18"/>
                <w:szCs w:val="18"/>
                <w:lang w:val="bg"/>
              </w:rPr>
            </w:pPr>
            <w:r w:rsidRPr="00523CC8">
              <w:rPr>
                <w:b/>
                <w:bCs/>
                <w:sz w:val="18"/>
                <w:szCs w:val="18"/>
                <w:lang w:val="bg"/>
              </w:rPr>
              <w:t xml:space="preserve">Технически одобрения: </w:t>
            </w:r>
            <w:r w:rsidRPr="00523CC8">
              <w:rPr>
                <w:sz w:val="18"/>
                <w:szCs w:val="18"/>
                <w:lang w:val="bg"/>
              </w:rPr>
              <w:t>- Записи на получените технически одобрения и лицензи.</w:t>
            </w:r>
          </w:p>
        </w:tc>
        <w:tc>
          <w:tcPr>
            <w:tcW w:w="2981" w:type="dxa"/>
            <w:shd w:val="clear" w:color="auto" w:fill="D2D2D2"/>
            <w:vAlign w:val="bottom"/>
          </w:tcPr>
          <w:p w:rsidR="007906A8" w:rsidRPr="00523CC8" w:rsidRDefault="007906A8" w:rsidP="007906A8">
            <w:pPr>
              <w:rPr>
                <w:sz w:val="18"/>
                <w:szCs w:val="18"/>
                <w:lang w:val="bg"/>
              </w:rPr>
            </w:pPr>
            <w:r w:rsidRPr="00523CC8">
              <w:rPr>
                <w:b/>
                <w:bCs/>
                <w:sz w:val="18"/>
                <w:szCs w:val="18"/>
                <w:lang w:val="bg"/>
              </w:rPr>
              <w:t>Правна и регулаторна информация:</w:t>
            </w:r>
          </w:p>
          <w:p w:rsidR="007906A8" w:rsidRPr="00523CC8" w:rsidRDefault="007906A8" w:rsidP="00DF14F0">
            <w:pPr>
              <w:numPr>
                <w:ilvl w:val="0"/>
                <w:numId w:val="37"/>
              </w:numPr>
              <w:rPr>
                <w:sz w:val="18"/>
                <w:szCs w:val="18"/>
                <w:lang w:val="bg"/>
              </w:rPr>
            </w:pPr>
            <w:r w:rsidRPr="00523CC8">
              <w:rPr>
                <w:sz w:val="18"/>
                <w:szCs w:val="18"/>
                <w:lang w:val="bg"/>
              </w:rPr>
              <w:t>Устав на Общността: Основни правила и цели на енергийната общност.</w:t>
            </w:r>
          </w:p>
          <w:p w:rsidR="007906A8" w:rsidRPr="00523CC8" w:rsidRDefault="007906A8" w:rsidP="00DF14F0">
            <w:pPr>
              <w:numPr>
                <w:ilvl w:val="0"/>
                <w:numId w:val="37"/>
              </w:numPr>
              <w:rPr>
                <w:sz w:val="18"/>
                <w:szCs w:val="18"/>
                <w:lang w:val="bg"/>
              </w:rPr>
            </w:pPr>
            <w:r w:rsidRPr="00523CC8">
              <w:rPr>
                <w:sz w:val="18"/>
                <w:szCs w:val="18"/>
                <w:lang w:val="bg"/>
              </w:rPr>
              <w:t>Лицензи и разрешителни: Информация относно регулаторните изисквания и спазването на законодателството.</w:t>
            </w:r>
          </w:p>
          <w:p w:rsidR="007906A8" w:rsidRPr="00523CC8" w:rsidRDefault="007906A8" w:rsidP="00DF14F0">
            <w:pPr>
              <w:numPr>
                <w:ilvl w:val="0"/>
                <w:numId w:val="37"/>
              </w:numPr>
              <w:rPr>
                <w:sz w:val="18"/>
                <w:szCs w:val="18"/>
                <w:lang w:val="bg"/>
              </w:rPr>
            </w:pPr>
            <w:r w:rsidRPr="00523CC8">
              <w:rPr>
                <w:sz w:val="18"/>
                <w:szCs w:val="18"/>
                <w:lang w:val="bg"/>
              </w:rPr>
              <w:t>Споразумения: Договори между членове на общността и ОПС и ОРС</w:t>
            </w:r>
          </w:p>
        </w:tc>
        <w:tc>
          <w:tcPr>
            <w:tcW w:w="2030" w:type="dxa"/>
            <w:shd w:val="clear" w:color="auto" w:fill="auto"/>
          </w:tcPr>
          <w:p w:rsidR="007906A8" w:rsidRPr="00523CC8" w:rsidRDefault="007906A8" w:rsidP="007906A8">
            <w:pPr>
              <w:rPr>
                <w:sz w:val="18"/>
                <w:szCs w:val="18"/>
                <w:lang w:val="bg"/>
              </w:rPr>
            </w:pPr>
          </w:p>
        </w:tc>
        <w:tc>
          <w:tcPr>
            <w:tcW w:w="2021" w:type="dxa"/>
            <w:shd w:val="clear" w:color="auto" w:fill="auto"/>
          </w:tcPr>
          <w:p w:rsidR="007906A8" w:rsidRPr="00523CC8" w:rsidRDefault="007906A8" w:rsidP="007906A8">
            <w:pPr>
              <w:rPr>
                <w:sz w:val="18"/>
                <w:szCs w:val="18"/>
                <w:lang w:val="bg"/>
              </w:rPr>
            </w:pPr>
            <w:r w:rsidRPr="00523CC8">
              <w:rPr>
                <w:b/>
                <w:bCs/>
                <w:sz w:val="18"/>
                <w:szCs w:val="18"/>
                <w:lang w:val="bg"/>
              </w:rPr>
              <w:t>Документи и регламенти:</w:t>
            </w:r>
          </w:p>
          <w:p w:rsidR="007906A8" w:rsidRPr="00523CC8" w:rsidRDefault="007906A8" w:rsidP="007906A8">
            <w:pPr>
              <w:rPr>
                <w:sz w:val="18"/>
                <w:szCs w:val="18"/>
                <w:lang w:val="bg"/>
              </w:rPr>
            </w:pPr>
            <w:r w:rsidRPr="00523CC8">
              <w:rPr>
                <w:sz w:val="18"/>
                <w:szCs w:val="18"/>
                <w:lang w:val="bg"/>
              </w:rPr>
              <w:t>- Стутове, правила за работа и други правни документи, свързани с функционирането на общността.</w:t>
            </w:r>
          </w:p>
        </w:tc>
        <w:tc>
          <w:tcPr>
            <w:tcW w:w="2030" w:type="dxa"/>
            <w:shd w:val="clear" w:color="auto" w:fill="auto"/>
          </w:tcPr>
          <w:p w:rsidR="007906A8" w:rsidRPr="00523CC8" w:rsidRDefault="007906A8" w:rsidP="007906A8">
            <w:pPr>
              <w:rPr>
                <w:sz w:val="18"/>
                <w:szCs w:val="18"/>
                <w:lang w:val="bg"/>
              </w:rPr>
            </w:pPr>
            <w:r w:rsidRPr="00523CC8">
              <w:rPr>
                <w:b/>
                <w:bCs/>
                <w:sz w:val="18"/>
                <w:szCs w:val="18"/>
                <w:lang w:val="bg"/>
              </w:rPr>
              <w:t>Документи и регламенти:</w:t>
            </w:r>
          </w:p>
          <w:p w:rsidR="007906A8" w:rsidRPr="00523CC8" w:rsidRDefault="007906A8" w:rsidP="007906A8">
            <w:pPr>
              <w:rPr>
                <w:sz w:val="18"/>
                <w:szCs w:val="18"/>
                <w:lang w:val="bg"/>
              </w:rPr>
            </w:pPr>
            <w:r w:rsidRPr="00523CC8">
              <w:rPr>
                <w:sz w:val="18"/>
                <w:szCs w:val="18"/>
                <w:lang w:val="bg"/>
              </w:rPr>
              <w:t>- Стутове, правила за работа и други правни документи, свързани с функционирането на общността.</w:t>
            </w:r>
          </w:p>
        </w:tc>
      </w:tr>
      <w:tr w:rsidR="007906A8" w:rsidRPr="00523CC8" w:rsidTr="00843A5F">
        <w:trPr>
          <w:trHeight w:hRule="exact" w:val="2759"/>
          <w:jc w:val="center"/>
        </w:trPr>
        <w:tc>
          <w:tcPr>
            <w:tcW w:w="1277" w:type="dxa"/>
            <w:shd w:val="clear" w:color="auto" w:fill="auto"/>
          </w:tcPr>
          <w:p w:rsidR="007906A8" w:rsidRPr="00523CC8" w:rsidRDefault="007906A8" w:rsidP="007906A8">
            <w:pPr>
              <w:rPr>
                <w:sz w:val="18"/>
                <w:szCs w:val="18"/>
                <w:lang w:val="bg"/>
              </w:rPr>
            </w:pPr>
          </w:p>
        </w:tc>
        <w:tc>
          <w:tcPr>
            <w:tcW w:w="1843" w:type="dxa"/>
            <w:shd w:val="clear" w:color="auto" w:fill="auto"/>
          </w:tcPr>
          <w:p w:rsidR="007906A8" w:rsidRPr="00523CC8" w:rsidRDefault="007906A8" w:rsidP="007906A8">
            <w:pPr>
              <w:rPr>
                <w:sz w:val="18"/>
                <w:szCs w:val="18"/>
                <w:lang w:val="bg"/>
              </w:rPr>
            </w:pPr>
          </w:p>
        </w:tc>
        <w:tc>
          <w:tcPr>
            <w:tcW w:w="1982" w:type="dxa"/>
            <w:shd w:val="clear" w:color="auto" w:fill="auto"/>
          </w:tcPr>
          <w:p w:rsidR="007906A8" w:rsidRPr="00523CC8" w:rsidRDefault="007906A8" w:rsidP="007906A8">
            <w:pPr>
              <w:rPr>
                <w:sz w:val="18"/>
                <w:szCs w:val="18"/>
                <w:lang w:val="bg"/>
              </w:rPr>
            </w:pPr>
            <w:r w:rsidRPr="00523CC8">
              <w:rPr>
                <w:b/>
                <w:bCs/>
                <w:sz w:val="18"/>
                <w:szCs w:val="18"/>
                <w:lang w:val="bg"/>
              </w:rPr>
              <w:t>Финансова информация:</w:t>
            </w:r>
          </w:p>
          <w:p w:rsidR="007906A8" w:rsidRPr="00523CC8" w:rsidRDefault="007906A8" w:rsidP="007906A8">
            <w:pPr>
              <w:rPr>
                <w:sz w:val="18"/>
                <w:szCs w:val="18"/>
                <w:lang w:val="bg"/>
              </w:rPr>
            </w:pPr>
            <w:r w:rsidRPr="00523CC8">
              <w:rPr>
                <w:sz w:val="18"/>
                <w:szCs w:val="18"/>
                <w:lang w:val="bg"/>
              </w:rPr>
              <w:t>Информация за капитала и финансовите механизми на общността.</w:t>
            </w:r>
          </w:p>
        </w:tc>
        <w:tc>
          <w:tcPr>
            <w:tcW w:w="2981" w:type="dxa"/>
            <w:shd w:val="clear" w:color="auto" w:fill="D2D2D2"/>
          </w:tcPr>
          <w:p w:rsidR="007906A8" w:rsidRPr="00523CC8" w:rsidRDefault="007906A8" w:rsidP="007906A8">
            <w:pPr>
              <w:rPr>
                <w:sz w:val="18"/>
                <w:szCs w:val="18"/>
                <w:lang w:val="bg"/>
              </w:rPr>
            </w:pPr>
            <w:r w:rsidRPr="00523CC8">
              <w:rPr>
                <w:b/>
                <w:bCs/>
                <w:sz w:val="18"/>
                <w:szCs w:val="18"/>
                <w:lang w:val="bg"/>
              </w:rPr>
              <w:t>Финансова информация:</w:t>
            </w:r>
          </w:p>
          <w:p w:rsidR="007906A8" w:rsidRPr="00523CC8" w:rsidRDefault="007906A8" w:rsidP="00DF14F0">
            <w:pPr>
              <w:numPr>
                <w:ilvl w:val="0"/>
                <w:numId w:val="38"/>
              </w:numPr>
              <w:rPr>
                <w:sz w:val="18"/>
                <w:szCs w:val="18"/>
                <w:lang w:val="bg"/>
              </w:rPr>
            </w:pPr>
            <w:r w:rsidRPr="00523CC8">
              <w:rPr>
                <w:sz w:val="18"/>
                <w:szCs w:val="18"/>
                <w:lang w:val="bg"/>
              </w:rPr>
              <w:t>Източници на финансиране: Членски внос, грантове, заеми и други.</w:t>
            </w:r>
          </w:p>
          <w:p w:rsidR="007906A8" w:rsidRPr="00523CC8" w:rsidRDefault="007906A8" w:rsidP="00DF14F0">
            <w:pPr>
              <w:numPr>
                <w:ilvl w:val="0"/>
                <w:numId w:val="38"/>
              </w:numPr>
              <w:rPr>
                <w:sz w:val="18"/>
                <w:szCs w:val="18"/>
                <w:lang w:val="bg"/>
              </w:rPr>
            </w:pPr>
            <w:r w:rsidRPr="00523CC8">
              <w:rPr>
                <w:sz w:val="18"/>
                <w:szCs w:val="18"/>
                <w:lang w:val="bg"/>
              </w:rPr>
              <w:t>Инвестиции: Данни за инвестициите, направени в общността.</w:t>
            </w:r>
          </w:p>
        </w:tc>
        <w:tc>
          <w:tcPr>
            <w:tcW w:w="2030" w:type="dxa"/>
            <w:shd w:val="clear" w:color="auto" w:fill="auto"/>
            <w:vAlign w:val="bottom"/>
          </w:tcPr>
          <w:p w:rsidR="007906A8" w:rsidRPr="00523CC8" w:rsidRDefault="007906A8" w:rsidP="007906A8">
            <w:pPr>
              <w:rPr>
                <w:sz w:val="18"/>
                <w:szCs w:val="18"/>
                <w:lang w:val="bg"/>
              </w:rPr>
            </w:pPr>
            <w:r w:rsidRPr="00523CC8">
              <w:rPr>
                <w:b/>
                <w:bCs/>
                <w:sz w:val="18"/>
                <w:szCs w:val="18"/>
                <w:lang w:val="bg"/>
              </w:rPr>
              <w:t>Споразумения за закупуване на електроенергия.</w:t>
            </w:r>
          </w:p>
          <w:p w:rsidR="007906A8" w:rsidRPr="00523CC8" w:rsidRDefault="007906A8" w:rsidP="007906A8">
            <w:pPr>
              <w:rPr>
                <w:sz w:val="18"/>
                <w:szCs w:val="18"/>
                <w:lang w:val="bg"/>
              </w:rPr>
            </w:pPr>
            <w:r w:rsidRPr="00523CC8">
              <w:rPr>
                <w:sz w:val="18"/>
                <w:szCs w:val="18"/>
                <w:lang w:val="bg"/>
              </w:rPr>
              <w:t>Връзки между производители и доставчици. Участие на оператори в мрежи и договори с мрежови компании.</w:t>
            </w:r>
          </w:p>
        </w:tc>
        <w:tc>
          <w:tcPr>
            <w:tcW w:w="2021" w:type="dxa"/>
            <w:shd w:val="clear" w:color="auto" w:fill="auto"/>
          </w:tcPr>
          <w:p w:rsidR="007906A8" w:rsidRPr="00523CC8" w:rsidRDefault="007906A8" w:rsidP="007906A8">
            <w:pPr>
              <w:rPr>
                <w:sz w:val="18"/>
                <w:szCs w:val="18"/>
                <w:lang w:val="bg"/>
              </w:rPr>
            </w:pPr>
            <w:r w:rsidRPr="00523CC8">
              <w:rPr>
                <w:b/>
                <w:bCs/>
                <w:sz w:val="18"/>
                <w:szCs w:val="18"/>
                <w:lang w:val="bg"/>
              </w:rPr>
              <w:t>Финансови данни:</w:t>
            </w:r>
          </w:p>
          <w:p w:rsidR="007906A8" w:rsidRPr="00523CC8" w:rsidRDefault="007906A8" w:rsidP="00DF14F0">
            <w:pPr>
              <w:numPr>
                <w:ilvl w:val="0"/>
                <w:numId w:val="39"/>
              </w:numPr>
              <w:rPr>
                <w:sz w:val="18"/>
                <w:szCs w:val="18"/>
                <w:lang w:val="bg"/>
              </w:rPr>
            </w:pPr>
            <w:r w:rsidRPr="00523CC8">
              <w:rPr>
                <w:sz w:val="18"/>
                <w:szCs w:val="18"/>
                <w:lang w:val="bg"/>
              </w:rPr>
              <w:t>Основни финансови източници и модели на финансиране.</w:t>
            </w:r>
          </w:p>
          <w:p w:rsidR="007906A8" w:rsidRPr="00523CC8" w:rsidRDefault="007906A8" w:rsidP="00DF14F0">
            <w:pPr>
              <w:numPr>
                <w:ilvl w:val="0"/>
                <w:numId w:val="39"/>
              </w:numPr>
              <w:rPr>
                <w:sz w:val="18"/>
                <w:szCs w:val="18"/>
                <w:lang w:val="bg"/>
              </w:rPr>
            </w:pPr>
            <w:r w:rsidRPr="00523CC8">
              <w:rPr>
                <w:sz w:val="18"/>
                <w:szCs w:val="18"/>
                <w:lang w:val="bg"/>
              </w:rPr>
              <w:t>Информация за членски внос и инвестиции.</w:t>
            </w:r>
          </w:p>
        </w:tc>
        <w:tc>
          <w:tcPr>
            <w:tcW w:w="2030" w:type="dxa"/>
            <w:shd w:val="clear" w:color="auto" w:fill="auto"/>
          </w:tcPr>
          <w:p w:rsidR="007906A8" w:rsidRPr="00523CC8" w:rsidRDefault="007906A8" w:rsidP="007906A8">
            <w:pPr>
              <w:rPr>
                <w:sz w:val="18"/>
                <w:szCs w:val="18"/>
                <w:lang w:val="bg"/>
              </w:rPr>
            </w:pPr>
            <w:r w:rsidRPr="00523CC8">
              <w:rPr>
                <w:b/>
                <w:bCs/>
                <w:sz w:val="18"/>
                <w:szCs w:val="18"/>
                <w:lang w:val="bg"/>
              </w:rPr>
              <w:t>Финансови данни:</w:t>
            </w:r>
          </w:p>
          <w:p w:rsidR="007906A8" w:rsidRPr="00523CC8" w:rsidRDefault="007906A8" w:rsidP="00DF14F0">
            <w:pPr>
              <w:numPr>
                <w:ilvl w:val="0"/>
                <w:numId w:val="40"/>
              </w:numPr>
              <w:rPr>
                <w:sz w:val="18"/>
                <w:szCs w:val="18"/>
                <w:lang w:val="bg"/>
              </w:rPr>
            </w:pPr>
            <w:r w:rsidRPr="00523CC8">
              <w:rPr>
                <w:sz w:val="18"/>
                <w:szCs w:val="18"/>
                <w:lang w:val="bg"/>
              </w:rPr>
              <w:t>Основни финансови източници и модели на финансиране.</w:t>
            </w:r>
          </w:p>
          <w:p w:rsidR="007906A8" w:rsidRPr="00523CC8" w:rsidRDefault="007906A8" w:rsidP="00DF14F0">
            <w:pPr>
              <w:numPr>
                <w:ilvl w:val="0"/>
                <w:numId w:val="40"/>
              </w:numPr>
              <w:rPr>
                <w:sz w:val="18"/>
                <w:szCs w:val="18"/>
                <w:lang w:val="bg"/>
              </w:rPr>
            </w:pPr>
            <w:r w:rsidRPr="00523CC8">
              <w:rPr>
                <w:sz w:val="18"/>
                <w:szCs w:val="18"/>
                <w:lang w:val="bg"/>
              </w:rPr>
              <w:t>Информация за членски внос и инвестиции</w:t>
            </w:r>
          </w:p>
        </w:tc>
      </w:tr>
    </w:tbl>
    <w:p w:rsidR="007906A8" w:rsidRPr="007906A8" w:rsidRDefault="007906A8" w:rsidP="007906A8">
      <w:pPr>
        <w:rPr>
          <w:lang w:val="bg"/>
        </w:rPr>
      </w:pPr>
      <w:r w:rsidRPr="007906A8">
        <w:rPr>
          <w:lang w:val="bg"/>
        </w:rPr>
        <w:br w:type="page"/>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277"/>
        <w:gridCol w:w="1843"/>
        <w:gridCol w:w="1982"/>
        <w:gridCol w:w="2981"/>
        <w:gridCol w:w="2030"/>
        <w:gridCol w:w="2021"/>
        <w:gridCol w:w="2030"/>
      </w:tblGrid>
      <w:tr w:rsidR="007906A8" w:rsidRPr="00DD03BF" w:rsidTr="00843A5F">
        <w:trPr>
          <w:trHeight w:hRule="exact" w:val="667"/>
          <w:jc w:val="center"/>
        </w:trPr>
        <w:tc>
          <w:tcPr>
            <w:tcW w:w="1277" w:type="dxa"/>
            <w:shd w:val="clear" w:color="auto" w:fill="auto"/>
          </w:tcPr>
          <w:p w:rsidR="007906A8" w:rsidRPr="00DD03BF" w:rsidRDefault="007906A8" w:rsidP="007906A8">
            <w:pPr>
              <w:rPr>
                <w:sz w:val="18"/>
                <w:szCs w:val="18"/>
                <w:lang w:val="bg"/>
              </w:rPr>
            </w:pPr>
          </w:p>
        </w:tc>
        <w:tc>
          <w:tcPr>
            <w:tcW w:w="1843" w:type="dxa"/>
            <w:shd w:val="clear" w:color="auto" w:fill="auto"/>
          </w:tcPr>
          <w:p w:rsidR="007906A8" w:rsidRPr="00DD03BF" w:rsidRDefault="007906A8" w:rsidP="007906A8">
            <w:pPr>
              <w:rPr>
                <w:sz w:val="18"/>
                <w:szCs w:val="18"/>
                <w:lang w:val="bg"/>
              </w:rPr>
            </w:pPr>
          </w:p>
        </w:tc>
        <w:tc>
          <w:tcPr>
            <w:tcW w:w="1982" w:type="dxa"/>
            <w:shd w:val="clear" w:color="auto" w:fill="auto"/>
          </w:tcPr>
          <w:p w:rsidR="007906A8" w:rsidRPr="00DD03BF" w:rsidRDefault="007906A8" w:rsidP="007906A8">
            <w:pPr>
              <w:rPr>
                <w:sz w:val="18"/>
                <w:szCs w:val="18"/>
                <w:lang w:val="bg"/>
              </w:rPr>
            </w:pPr>
          </w:p>
        </w:tc>
        <w:tc>
          <w:tcPr>
            <w:tcW w:w="2981" w:type="dxa"/>
            <w:shd w:val="clear" w:color="auto" w:fill="D2D2D2"/>
          </w:tcPr>
          <w:p w:rsidR="007906A8" w:rsidRPr="00DD03BF" w:rsidRDefault="007906A8" w:rsidP="007906A8">
            <w:pPr>
              <w:rPr>
                <w:sz w:val="18"/>
                <w:szCs w:val="18"/>
                <w:lang w:val="bg"/>
              </w:rPr>
            </w:pPr>
          </w:p>
        </w:tc>
        <w:tc>
          <w:tcPr>
            <w:tcW w:w="2030" w:type="dxa"/>
            <w:shd w:val="clear" w:color="auto" w:fill="auto"/>
          </w:tcPr>
          <w:p w:rsidR="007906A8" w:rsidRPr="00DD03BF" w:rsidRDefault="007906A8" w:rsidP="007906A8">
            <w:pPr>
              <w:rPr>
                <w:sz w:val="18"/>
                <w:szCs w:val="18"/>
                <w:lang w:val="bg"/>
              </w:rPr>
            </w:pPr>
          </w:p>
        </w:tc>
        <w:tc>
          <w:tcPr>
            <w:tcW w:w="2021" w:type="dxa"/>
            <w:shd w:val="clear" w:color="auto" w:fill="auto"/>
          </w:tcPr>
          <w:p w:rsidR="007906A8" w:rsidRPr="00DD03BF" w:rsidRDefault="007906A8" w:rsidP="007906A8">
            <w:pPr>
              <w:rPr>
                <w:sz w:val="18"/>
                <w:szCs w:val="18"/>
                <w:lang w:val="bg"/>
              </w:rPr>
            </w:pPr>
          </w:p>
        </w:tc>
        <w:tc>
          <w:tcPr>
            <w:tcW w:w="2030" w:type="dxa"/>
            <w:shd w:val="clear" w:color="auto" w:fill="auto"/>
          </w:tcPr>
          <w:p w:rsidR="007906A8" w:rsidRPr="00DD03BF" w:rsidRDefault="007906A8" w:rsidP="007906A8">
            <w:pPr>
              <w:rPr>
                <w:sz w:val="18"/>
                <w:szCs w:val="18"/>
                <w:lang w:val="bg"/>
              </w:rPr>
            </w:pPr>
          </w:p>
        </w:tc>
      </w:tr>
      <w:tr w:rsidR="007906A8" w:rsidRPr="00DD03BF" w:rsidTr="00843A5F">
        <w:trPr>
          <w:trHeight w:hRule="exact" w:val="2186"/>
          <w:jc w:val="center"/>
        </w:trPr>
        <w:tc>
          <w:tcPr>
            <w:tcW w:w="1277" w:type="dxa"/>
            <w:shd w:val="clear" w:color="auto" w:fill="auto"/>
          </w:tcPr>
          <w:p w:rsidR="007906A8" w:rsidRPr="00DD03BF" w:rsidRDefault="007906A8" w:rsidP="007906A8">
            <w:pPr>
              <w:rPr>
                <w:sz w:val="18"/>
                <w:szCs w:val="18"/>
                <w:lang w:val="bg"/>
              </w:rPr>
            </w:pPr>
          </w:p>
        </w:tc>
        <w:tc>
          <w:tcPr>
            <w:tcW w:w="1843" w:type="dxa"/>
            <w:shd w:val="clear" w:color="auto" w:fill="auto"/>
          </w:tcPr>
          <w:p w:rsidR="007906A8" w:rsidRPr="00DD03BF" w:rsidRDefault="007906A8" w:rsidP="007906A8">
            <w:pPr>
              <w:rPr>
                <w:sz w:val="18"/>
                <w:szCs w:val="18"/>
                <w:lang w:val="bg"/>
              </w:rPr>
            </w:pPr>
          </w:p>
        </w:tc>
        <w:tc>
          <w:tcPr>
            <w:tcW w:w="1982" w:type="dxa"/>
            <w:shd w:val="clear" w:color="auto" w:fill="auto"/>
          </w:tcPr>
          <w:p w:rsidR="007906A8" w:rsidRPr="00DD03BF" w:rsidRDefault="007906A8" w:rsidP="007906A8">
            <w:pPr>
              <w:rPr>
                <w:sz w:val="18"/>
                <w:szCs w:val="18"/>
                <w:lang w:val="bg"/>
              </w:rPr>
            </w:pPr>
            <w:r w:rsidRPr="00DD03BF">
              <w:rPr>
                <w:sz w:val="18"/>
                <w:szCs w:val="18"/>
                <w:lang w:val="bg"/>
              </w:rPr>
              <w:t xml:space="preserve">Информация за </w:t>
            </w:r>
            <w:r w:rsidRPr="00DD03BF">
              <w:rPr>
                <w:b/>
                <w:bCs/>
                <w:sz w:val="18"/>
                <w:szCs w:val="18"/>
                <w:lang w:val="bg"/>
              </w:rPr>
              <w:t xml:space="preserve">връзка: </w:t>
            </w:r>
            <w:r w:rsidRPr="00DD03BF">
              <w:rPr>
                <w:sz w:val="18"/>
                <w:szCs w:val="18"/>
                <w:lang w:val="bg"/>
              </w:rPr>
              <w:t>- Адрес и данни за контакт на енергийната общност.</w:t>
            </w:r>
          </w:p>
        </w:tc>
        <w:tc>
          <w:tcPr>
            <w:tcW w:w="2981" w:type="dxa"/>
            <w:shd w:val="clear" w:color="auto" w:fill="D2D2D2"/>
          </w:tcPr>
          <w:p w:rsidR="007906A8" w:rsidRPr="00DD03BF" w:rsidRDefault="007906A8" w:rsidP="007906A8">
            <w:pPr>
              <w:rPr>
                <w:sz w:val="18"/>
                <w:szCs w:val="18"/>
                <w:lang w:val="bg"/>
              </w:rPr>
            </w:pPr>
            <w:r w:rsidRPr="00DD03BF">
              <w:rPr>
                <w:b/>
                <w:bCs/>
                <w:sz w:val="18"/>
                <w:szCs w:val="18"/>
                <w:lang w:val="bg"/>
              </w:rPr>
              <w:t>Информация за връзка:</w:t>
            </w:r>
          </w:p>
          <w:p w:rsidR="007906A8" w:rsidRPr="00DD03BF" w:rsidRDefault="007906A8" w:rsidP="00DF14F0">
            <w:pPr>
              <w:numPr>
                <w:ilvl w:val="0"/>
                <w:numId w:val="41"/>
              </w:numPr>
              <w:rPr>
                <w:sz w:val="18"/>
                <w:szCs w:val="18"/>
                <w:lang w:val="bg"/>
              </w:rPr>
            </w:pPr>
            <w:r w:rsidRPr="00DD03BF">
              <w:rPr>
                <w:sz w:val="18"/>
                <w:szCs w:val="18"/>
                <w:lang w:val="bg"/>
              </w:rPr>
              <w:t>Адрес на централата.</w:t>
            </w:r>
          </w:p>
          <w:p w:rsidR="007906A8" w:rsidRPr="00DD03BF" w:rsidRDefault="007906A8" w:rsidP="00DF14F0">
            <w:pPr>
              <w:numPr>
                <w:ilvl w:val="0"/>
                <w:numId w:val="41"/>
              </w:numPr>
              <w:rPr>
                <w:sz w:val="18"/>
                <w:szCs w:val="18"/>
                <w:lang w:val="bg"/>
              </w:rPr>
            </w:pPr>
            <w:r w:rsidRPr="00DD03BF">
              <w:rPr>
                <w:sz w:val="18"/>
                <w:szCs w:val="18"/>
                <w:lang w:val="bg"/>
              </w:rPr>
              <w:t>Лице за контакт: Име, телефонен номер и имейл.</w:t>
            </w:r>
          </w:p>
          <w:p w:rsidR="007906A8" w:rsidRPr="00DD03BF" w:rsidRDefault="007906A8" w:rsidP="00DF14F0">
            <w:pPr>
              <w:numPr>
                <w:ilvl w:val="0"/>
                <w:numId w:val="41"/>
              </w:numPr>
              <w:rPr>
                <w:sz w:val="18"/>
                <w:szCs w:val="18"/>
                <w:lang w:val="bg"/>
              </w:rPr>
            </w:pPr>
            <w:r w:rsidRPr="00DD03BF">
              <w:rPr>
                <w:sz w:val="18"/>
                <w:szCs w:val="18"/>
                <w:lang w:val="bg"/>
              </w:rPr>
              <w:t>Управителен съвет: Информация за членовете на ръководния екип.</w:t>
            </w:r>
          </w:p>
        </w:tc>
        <w:tc>
          <w:tcPr>
            <w:tcW w:w="2030" w:type="dxa"/>
            <w:shd w:val="clear" w:color="auto" w:fill="auto"/>
          </w:tcPr>
          <w:p w:rsidR="007906A8" w:rsidRPr="00DD03BF" w:rsidRDefault="007906A8" w:rsidP="007906A8">
            <w:pPr>
              <w:rPr>
                <w:sz w:val="18"/>
                <w:szCs w:val="18"/>
                <w:lang w:val="bg"/>
              </w:rPr>
            </w:pPr>
          </w:p>
        </w:tc>
        <w:tc>
          <w:tcPr>
            <w:tcW w:w="2021" w:type="dxa"/>
            <w:shd w:val="clear" w:color="auto" w:fill="auto"/>
          </w:tcPr>
          <w:p w:rsidR="007906A8" w:rsidRPr="00DD03BF" w:rsidRDefault="007906A8" w:rsidP="007906A8">
            <w:pPr>
              <w:rPr>
                <w:sz w:val="18"/>
                <w:szCs w:val="18"/>
                <w:lang w:val="bg"/>
              </w:rPr>
            </w:pPr>
            <w:r w:rsidRPr="00DD03BF">
              <w:rPr>
                <w:b/>
                <w:bCs/>
                <w:sz w:val="18"/>
                <w:szCs w:val="18"/>
                <w:lang w:val="bg"/>
              </w:rPr>
              <w:t>Информация за връзка:</w:t>
            </w:r>
          </w:p>
          <w:p w:rsidR="007906A8" w:rsidRPr="00DD03BF" w:rsidRDefault="007906A8" w:rsidP="00DF14F0">
            <w:pPr>
              <w:numPr>
                <w:ilvl w:val="0"/>
                <w:numId w:val="42"/>
              </w:numPr>
              <w:rPr>
                <w:sz w:val="18"/>
                <w:szCs w:val="18"/>
                <w:lang w:val="bg"/>
              </w:rPr>
            </w:pPr>
            <w:r w:rsidRPr="00DD03BF">
              <w:rPr>
                <w:sz w:val="18"/>
                <w:szCs w:val="18"/>
                <w:lang w:val="bg"/>
              </w:rPr>
              <w:t>Адрес на централата.</w:t>
            </w:r>
          </w:p>
          <w:p w:rsidR="007906A8" w:rsidRPr="00DD03BF" w:rsidRDefault="007906A8" w:rsidP="00DF14F0">
            <w:pPr>
              <w:numPr>
                <w:ilvl w:val="0"/>
                <w:numId w:val="42"/>
              </w:numPr>
              <w:rPr>
                <w:sz w:val="18"/>
                <w:szCs w:val="18"/>
                <w:lang w:val="bg"/>
              </w:rPr>
            </w:pPr>
            <w:r w:rsidRPr="00DD03BF">
              <w:rPr>
                <w:sz w:val="18"/>
                <w:szCs w:val="18"/>
                <w:lang w:val="bg"/>
              </w:rPr>
              <w:t>Имена и контакти на ключови представители и на ръководния екип.</w:t>
            </w:r>
          </w:p>
        </w:tc>
        <w:tc>
          <w:tcPr>
            <w:tcW w:w="2030" w:type="dxa"/>
            <w:shd w:val="clear" w:color="auto" w:fill="auto"/>
          </w:tcPr>
          <w:p w:rsidR="007906A8" w:rsidRPr="00DD03BF" w:rsidRDefault="007906A8" w:rsidP="007906A8">
            <w:pPr>
              <w:rPr>
                <w:sz w:val="18"/>
                <w:szCs w:val="18"/>
                <w:lang w:val="bg"/>
              </w:rPr>
            </w:pPr>
            <w:r w:rsidRPr="00DD03BF">
              <w:rPr>
                <w:sz w:val="18"/>
                <w:szCs w:val="18"/>
                <w:lang w:val="bg"/>
              </w:rPr>
              <w:t xml:space="preserve">Информация за </w:t>
            </w:r>
            <w:r w:rsidRPr="00DD03BF">
              <w:rPr>
                <w:b/>
                <w:bCs/>
                <w:sz w:val="18"/>
                <w:szCs w:val="18"/>
                <w:lang w:val="bg"/>
              </w:rPr>
              <w:t xml:space="preserve">връзка: </w:t>
            </w:r>
            <w:r w:rsidRPr="00DD03BF">
              <w:rPr>
                <w:sz w:val="18"/>
                <w:szCs w:val="18"/>
                <w:lang w:val="bg"/>
              </w:rPr>
              <w:t>- Адрес и информация за контакт на общността.</w:t>
            </w:r>
          </w:p>
          <w:p w:rsidR="007906A8" w:rsidRPr="00DD03BF" w:rsidRDefault="007906A8" w:rsidP="007906A8">
            <w:pPr>
              <w:rPr>
                <w:sz w:val="18"/>
                <w:szCs w:val="18"/>
                <w:lang w:val="bg"/>
              </w:rPr>
            </w:pPr>
            <w:r w:rsidRPr="00DD03BF">
              <w:rPr>
                <w:sz w:val="18"/>
                <w:szCs w:val="18"/>
                <w:lang w:val="bg"/>
              </w:rPr>
              <w:t>Имена на ключови представители.</w:t>
            </w:r>
          </w:p>
        </w:tc>
      </w:tr>
      <w:tr w:rsidR="007906A8" w:rsidRPr="00DD03BF" w:rsidTr="00843A5F">
        <w:trPr>
          <w:trHeight w:hRule="exact" w:val="2981"/>
          <w:jc w:val="center"/>
        </w:trPr>
        <w:tc>
          <w:tcPr>
            <w:tcW w:w="1277" w:type="dxa"/>
            <w:shd w:val="clear" w:color="auto" w:fill="auto"/>
          </w:tcPr>
          <w:p w:rsidR="007906A8" w:rsidRPr="00DD03BF" w:rsidRDefault="007906A8" w:rsidP="007906A8">
            <w:pPr>
              <w:rPr>
                <w:sz w:val="18"/>
                <w:szCs w:val="18"/>
                <w:lang w:val="bg"/>
              </w:rPr>
            </w:pPr>
          </w:p>
        </w:tc>
        <w:tc>
          <w:tcPr>
            <w:tcW w:w="1843" w:type="dxa"/>
            <w:shd w:val="clear" w:color="auto" w:fill="auto"/>
          </w:tcPr>
          <w:p w:rsidR="007906A8" w:rsidRPr="00DD03BF" w:rsidRDefault="007906A8" w:rsidP="007906A8">
            <w:pPr>
              <w:rPr>
                <w:sz w:val="18"/>
                <w:szCs w:val="18"/>
                <w:lang w:val="bg"/>
              </w:rPr>
            </w:pPr>
          </w:p>
        </w:tc>
        <w:tc>
          <w:tcPr>
            <w:tcW w:w="1982" w:type="dxa"/>
            <w:shd w:val="clear" w:color="auto" w:fill="auto"/>
          </w:tcPr>
          <w:p w:rsidR="007906A8" w:rsidRPr="00DD03BF" w:rsidRDefault="007906A8" w:rsidP="007906A8">
            <w:pPr>
              <w:rPr>
                <w:sz w:val="18"/>
                <w:szCs w:val="18"/>
                <w:lang w:val="bg"/>
              </w:rPr>
            </w:pPr>
          </w:p>
        </w:tc>
        <w:tc>
          <w:tcPr>
            <w:tcW w:w="2981" w:type="dxa"/>
            <w:shd w:val="clear" w:color="auto" w:fill="D2D2D2"/>
            <w:vAlign w:val="bottom"/>
          </w:tcPr>
          <w:p w:rsidR="007906A8" w:rsidRPr="00DD03BF" w:rsidRDefault="007906A8" w:rsidP="007906A8">
            <w:pPr>
              <w:rPr>
                <w:sz w:val="18"/>
                <w:szCs w:val="18"/>
                <w:lang w:val="bg"/>
              </w:rPr>
            </w:pPr>
            <w:r w:rsidRPr="00DD03BF">
              <w:rPr>
                <w:b/>
                <w:bCs/>
                <w:sz w:val="18"/>
                <w:szCs w:val="18"/>
                <w:lang w:val="bg"/>
              </w:rPr>
              <w:t>Географско местоположение:</w:t>
            </w:r>
          </w:p>
          <w:p w:rsidR="007906A8" w:rsidRPr="00DD03BF" w:rsidRDefault="007906A8" w:rsidP="00DF14F0">
            <w:pPr>
              <w:numPr>
                <w:ilvl w:val="0"/>
                <w:numId w:val="43"/>
              </w:numPr>
              <w:rPr>
                <w:sz w:val="18"/>
                <w:szCs w:val="18"/>
                <w:lang w:val="bg"/>
              </w:rPr>
            </w:pPr>
            <w:r w:rsidRPr="00DD03BF">
              <w:rPr>
                <w:sz w:val="18"/>
                <w:szCs w:val="18"/>
                <w:lang w:val="bg"/>
              </w:rPr>
              <w:t>Местоположение на общината: Район или община, където действа енергийната общност.</w:t>
            </w:r>
          </w:p>
          <w:p w:rsidR="007906A8" w:rsidRPr="00DD03BF" w:rsidRDefault="007906A8" w:rsidP="00DF14F0">
            <w:pPr>
              <w:numPr>
                <w:ilvl w:val="0"/>
                <w:numId w:val="43"/>
              </w:numPr>
              <w:rPr>
                <w:sz w:val="18"/>
                <w:szCs w:val="18"/>
                <w:lang w:val="bg"/>
              </w:rPr>
            </w:pPr>
            <w:r w:rsidRPr="00DD03BF">
              <w:rPr>
                <w:sz w:val="18"/>
                <w:szCs w:val="18"/>
                <w:lang w:val="bg"/>
              </w:rPr>
              <w:t>Области на дейност: Територия, обхваната от мрежата на общността, включително местоположението на съоръженията за производство и потребление на енергия.</w:t>
            </w:r>
          </w:p>
        </w:tc>
        <w:tc>
          <w:tcPr>
            <w:tcW w:w="2030" w:type="dxa"/>
            <w:shd w:val="clear" w:color="auto" w:fill="auto"/>
          </w:tcPr>
          <w:p w:rsidR="007906A8" w:rsidRPr="00DD03BF" w:rsidRDefault="007906A8" w:rsidP="007906A8">
            <w:pPr>
              <w:rPr>
                <w:sz w:val="18"/>
                <w:szCs w:val="18"/>
                <w:lang w:val="bg"/>
              </w:rPr>
            </w:pPr>
            <w:r w:rsidRPr="00DD03BF">
              <w:rPr>
                <w:b/>
                <w:bCs/>
                <w:sz w:val="18"/>
                <w:szCs w:val="18"/>
                <w:lang w:val="bg"/>
              </w:rPr>
              <w:t>Местоположение</w:t>
            </w:r>
          </w:p>
          <w:p w:rsidR="007906A8" w:rsidRPr="00DD03BF" w:rsidRDefault="007906A8" w:rsidP="007906A8">
            <w:pPr>
              <w:rPr>
                <w:sz w:val="18"/>
                <w:szCs w:val="18"/>
                <w:lang w:val="bg"/>
              </w:rPr>
            </w:pPr>
            <w:r w:rsidRPr="00DD03BF">
              <w:rPr>
                <w:sz w:val="18"/>
                <w:szCs w:val="18"/>
                <w:lang w:val="bg"/>
              </w:rPr>
              <w:t>(адрес, географски координати)</w:t>
            </w:r>
          </w:p>
        </w:tc>
        <w:tc>
          <w:tcPr>
            <w:tcW w:w="2021" w:type="dxa"/>
            <w:shd w:val="clear" w:color="auto" w:fill="auto"/>
          </w:tcPr>
          <w:p w:rsidR="007906A8" w:rsidRPr="00DD03BF" w:rsidRDefault="007906A8" w:rsidP="007906A8">
            <w:pPr>
              <w:rPr>
                <w:sz w:val="18"/>
                <w:szCs w:val="18"/>
                <w:lang w:val="bg"/>
              </w:rPr>
            </w:pPr>
            <w:r w:rsidRPr="00DD03BF">
              <w:rPr>
                <w:b/>
                <w:bCs/>
                <w:sz w:val="18"/>
                <w:szCs w:val="18"/>
                <w:lang w:val="bg"/>
              </w:rPr>
              <w:t xml:space="preserve">Географско местоположение: </w:t>
            </w:r>
            <w:r w:rsidRPr="00DD03BF">
              <w:rPr>
                <w:sz w:val="18"/>
                <w:szCs w:val="18"/>
                <w:lang w:val="bg"/>
              </w:rPr>
              <w:t>- Локализация на проекти и обхват на дейностите (напр. на регионално, местно равнище).</w:t>
            </w:r>
          </w:p>
        </w:tc>
        <w:tc>
          <w:tcPr>
            <w:tcW w:w="2030" w:type="dxa"/>
            <w:shd w:val="clear" w:color="auto" w:fill="auto"/>
          </w:tcPr>
          <w:p w:rsidR="007906A8" w:rsidRPr="00DD03BF" w:rsidRDefault="007906A8" w:rsidP="007906A8">
            <w:pPr>
              <w:rPr>
                <w:sz w:val="18"/>
                <w:szCs w:val="18"/>
                <w:lang w:val="bg"/>
              </w:rPr>
            </w:pPr>
            <w:r w:rsidRPr="00DD03BF">
              <w:rPr>
                <w:b/>
                <w:bCs/>
                <w:sz w:val="18"/>
                <w:szCs w:val="18"/>
                <w:lang w:val="bg"/>
              </w:rPr>
              <w:t xml:space="preserve">Географско местоположение: </w:t>
            </w:r>
            <w:r w:rsidRPr="00DD03BF">
              <w:rPr>
                <w:sz w:val="18"/>
                <w:szCs w:val="18"/>
                <w:lang w:val="bg"/>
              </w:rPr>
              <w:t>Локализация на проекти и обхват на дейностите</w:t>
            </w:r>
          </w:p>
        </w:tc>
      </w:tr>
      <w:tr w:rsidR="007906A8" w:rsidRPr="00DD03BF" w:rsidTr="00843A5F">
        <w:trPr>
          <w:trHeight w:hRule="exact" w:val="2851"/>
          <w:jc w:val="center"/>
        </w:trPr>
        <w:tc>
          <w:tcPr>
            <w:tcW w:w="1277" w:type="dxa"/>
            <w:shd w:val="clear" w:color="auto" w:fill="auto"/>
          </w:tcPr>
          <w:p w:rsidR="007906A8" w:rsidRPr="00DD03BF" w:rsidRDefault="007906A8" w:rsidP="007906A8">
            <w:pPr>
              <w:rPr>
                <w:sz w:val="18"/>
                <w:szCs w:val="18"/>
                <w:lang w:val="bg"/>
              </w:rPr>
            </w:pPr>
          </w:p>
        </w:tc>
        <w:tc>
          <w:tcPr>
            <w:tcW w:w="1843" w:type="dxa"/>
            <w:shd w:val="clear" w:color="auto" w:fill="auto"/>
          </w:tcPr>
          <w:p w:rsidR="007906A8" w:rsidRPr="00DD03BF" w:rsidRDefault="007906A8" w:rsidP="007906A8">
            <w:pPr>
              <w:rPr>
                <w:sz w:val="18"/>
                <w:szCs w:val="18"/>
                <w:lang w:val="bg"/>
              </w:rPr>
            </w:pPr>
          </w:p>
        </w:tc>
        <w:tc>
          <w:tcPr>
            <w:tcW w:w="1982" w:type="dxa"/>
            <w:shd w:val="clear" w:color="auto" w:fill="auto"/>
          </w:tcPr>
          <w:p w:rsidR="007906A8" w:rsidRPr="00DD03BF" w:rsidRDefault="007906A8" w:rsidP="007906A8">
            <w:pPr>
              <w:rPr>
                <w:sz w:val="18"/>
                <w:szCs w:val="18"/>
                <w:lang w:val="bg"/>
              </w:rPr>
            </w:pPr>
          </w:p>
        </w:tc>
        <w:tc>
          <w:tcPr>
            <w:tcW w:w="2981" w:type="dxa"/>
            <w:shd w:val="clear" w:color="auto" w:fill="D2D2D2"/>
          </w:tcPr>
          <w:p w:rsidR="007906A8" w:rsidRPr="00DD03BF" w:rsidRDefault="007906A8" w:rsidP="007906A8">
            <w:pPr>
              <w:rPr>
                <w:sz w:val="18"/>
                <w:szCs w:val="18"/>
                <w:lang w:val="bg"/>
              </w:rPr>
            </w:pPr>
            <w:r w:rsidRPr="00DD03BF">
              <w:rPr>
                <w:b/>
                <w:bCs/>
                <w:sz w:val="18"/>
                <w:szCs w:val="18"/>
                <w:lang w:val="bg"/>
              </w:rPr>
              <w:t>Данни за енергийния поток:</w:t>
            </w:r>
          </w:p>
          <w:p w:rsidR="007906A8" w:rsidRPr="00DD03BF" w:rsidRDefault="007906A8" w:rsidP="00DF14F0">
            <w:pPr>
              <w:numPr>
                <w:ilvl w:val="0"/>
                <w:numId w:val="44"/>
              </w:numPr>
              <w:rPr>
                <w:sz w:val="18"/>
                <w:szCs w:val="18"/>
                <w:lang w:val="bg"/>
              </w:rPr>
            </w:pPr>
            <w:r w:rsidRPr="00DD03BF">
              <w:rPr>
                <w:sz w:val="18"/>
                <w:szCs w:val="18"/>
                <w:lang w:val="bg"/>
              </w:rPr>
              <w:t>Производство: Количеството енергия, произведено от общината.</w:t>
            </w:r>
          </w:p>
          <w:p w:rsidR="007906A8" w:rsidRPr="00DD03BF" w:rsidRDefault="007906A8" w:rsidP="00DF14F0">
            <w:pPr>
              <w:numPr>
                <w:ilvl w:val="0"/>
                <w:numId w:val="44"/>
              </w:numPr>
              <w:rPr>
                <w:sz w:val="18"/>
                <w:szCs w:val="18"/>
                <w:lang w:val="bg"/>
              </w:rPr>
            </w:pPr>
            <w:r w:rsidRPr="00DD03BF">
              <w:rPr>
                <w:sz w:val="18"/>
                <w:szCs w:val="18"/>
                <w:lang w:val="bg"/>
              </w:rPr>
              <w:t>Собствено потребление: Енергията се използва вътрешно в рамките на общността.</w:t>
            </w:r>
          </w:p>
          <w:p w:rsidR="007906A8" w:rsidRPr="00DD03BF" w:rsidRDefault="007906A8" w:rsidP="00DF14F0">
            <w:pPr>
              <w:numPr>
                <w:ilvl w:val="0"/>
                <w:numId w:val="44"/>
              </w:numPr>
              <w:rPr>
                <w:sz w:val="18"/>
                <w:szCs w:val="18"/>
                <w:lang w:val="bg"/>
              </w:rPr>
            </w:pPr>
            <w:r w:rsidRPr="00DD03BF">
              <w:rPr>
                <w:sz w:val="18"/>
                <w:szCs w:val="18"/>
                <w:lang w:val="bg"/>
              </w:rPr>
              <w:t>Споделена енергия: Енергия, предоставяна на членовете на общността.</w:t>
            </w:r>
          </w:p>
          <w:p w:rsidR="007906A8" w:rsidRPr="00DD03BF" w:rsidRDefault="007906A8" w:rsidP="00DF14F0">
            <w:pPr>
              <w:numPr>
                <w:ilvl w:val="0"/>
                <w:numId w:val="44"/>
              </w:numPr>
              <w:rPr>
                <w:sz w:val="18"/>
                <w:szCs w:val="18"/>
                <w:lang w:val="bg"/>
              </w:rPr>
            </w:pPr>
            <w:r w:rsidRPr="00DD03BF">
              <w:rPr>
                <w:sz w:val="18"/>
                <w:szCs w:val="18"/>
                <w:lang w:val="bg"/>
              </w:rPr>
              <w:t>Продажба на излишна енергия: Данни за енергията, продадена на трети страни или подадена обратно в мрежата.</w:t>
            </w:r>
          </w:p>
        </w:tc>
        <w:tc>
          <w:tcPr>
            <w:tcW w:w="2030" w:type="dxa"/>
            <w:shd w:val="clear" w:color="auto" w:fill="auto"/>
          </w:tcPr>
          <w:p w:rsidR="007906A8" w:rsidRPr="00DD03BF" w:rsidRDefault="007906A8" w:rsidP="007906A8">
            <w:pPr>
              <w:rPr>
                <w:sz w:val="18"/>
                <w:szCs w:val="18"/>
                <w:lang w:val="bg"/>
              </w:rPr>
            </w:pPr>
            <w:r w:rsidRPr="00DD03BF">
              <w:rPr>
                <w:b/>
                <w:bCs/>
                <w:sz w:val="18"/>
                <w:szCs w:val="18"/>
                <w:lang w:val="bg"/>
              </w:rPr>
              <w:t>Данни за енергийните потоци. Информация за:</w:t>
            </w:r>
          </w:p>
          <w:p w:rsidR="007906A8" w:rsidRPr="00DD03BF" w:rsidRDefault="007906A8" w:rsidP="00DF14F0">
            <w:pPr>
              <w:numPr>
                <w:ilvl w:val="0"/>
                <w:numId w:val="45"/>
              </w:numPr>
              <w:rPr>
                <w:sz w:val="18"/>
                <w:szCs w:val="18"/>
                <w:lang w:val="bg"/>
              </w:rPr>
            </w:pPr>
            <w:r w:rsidRPr="00DD03BF">
              <w:rPr>
                <w:sz w:val="18"/>
                <w:szCs w:val="18"/>
                <w:lang w:val="bg"/>
              </w:rPr>
              <w:t>Произведена енергия (включително енергия от възобновяеми източници).</w:t>
            </w:r>
          </w:p>
          <w:p w:rsidR="007906A8" w:rsidRPr="00DD03BF" w:rsidRDefault="007906A8" w:rsidP="00DF14F0">
            <w:pPr>
              <w:numPr>
                <w:ilvl w:val="0"/>
                <w:numId w:val="45"/>
              </w:numPr>
              <w:rPr>
                <w:sz w:val="18"/>
                <w:szCs w:val="18"/>
                <w:lang w:val="bg"/>
              </w:rPr>
            </w:pPr>
            <w:r w:rsidRPr="00DD03BF">
              <w:rPr>
                <w:sz w:val="18"/>
                <w:szCs w:val="18"/>
                <w:lang w:val="bg"/>
              </w:rPr>
              <w:t>Консумация на енергия.</w:t>
            </w:r>
          </w:p>
          <w:p w:rsidR="007906A8" w:rsidRPr="00DD03BF" w:rsidRDefault="007906A8" w:rsidP="00DF14F0">
            <w:pPr>
              <w:numPr>
                <w:ilvl w:val="0"/>
                <w:numId w:val="45"/>
              </w:numPr>
              <w:rPr>
                <w:sz w:val="18"/>
                <w:szCs w:val="18"/>
                <w:lang w:val="bg"/>
              </w:rPr>
            </w:pPr>
            <w:r w:rsidRPr="00DD03BF">
              <w:rPr>
                <w:sz w:val="18"/>
                <w:szCs w:val="18"/>
                <w:lang w:val="bg"/>
              </w:rPr>
              <w:t>Споделена и самостоятелно</w:t>
            </w:r>
            <w:r w:rsidRPr="00DD03BF">
              <w:rPr>
                <w:sz w:val="18"/>
                <w:szCs w:val="18"/>
                <w:lang w:val="bg"/>
              </w:rPr>
              <w:softHyphen/>
              <w:t>консумирана енергия (напр. в рамките на енергийни общности).</w:t>
            </w:r>
          </w:p>
        </w:tc>
        <w:tc>
          <w:tcPr>
            <w:tcW w:w="2021" w:type="dxa"/>
            <w:shd w:val="clear" w:color="auto" w:fill="auto"/>
          </w:tcPr>
          <w:p w:rsidR="007906A8" w:rsidRPr="00DD03BF" w:rsidRDefault="007906A8" w:rsidP="007906A8">
            <w:pPr>
              <w:rPr>
                <w:sz w:val="18"/>
                <w:szCs w:val="18"/>
                <w:lang w:val="bg"/>
              </w:rPr>
            </w:pPr>
            <w:r w:rsidRPr="00DD03BF">
              <w:rPr>
                <w:b/>
                <w:bCs/>
                <w:sz w:val="18"/>
                <w:szCs w:val="18"/>
                <w:lang w:val="bg"/>
              </w:rPr>
              <w:t>Данни за производството и потреблението:</w:t>
            </w:r>
          </w:p>
          <w:p w:rsidR="007906A8" w:rsidRPr="00DD03BF" w:rsidRDefault="007906A8" w:rsidP="007906A8">
            <w:pPr>
              <w:rPr>
                <w:sz w:val="18"/>
                <w:szCs w:val="18"/>
                <w:lang w:val="bg"/>
              </w:rPr>
            </w:pPr>
            <w:r w:rsidRPr="00DD03BF">
              <w:rPr>
                <w:sz w:val="18"/>
                <w:szCs w:val="18"/>
                <w:lang w:val="bg"/>
              </w:rPr>
              <w:t>Данни за произведената енергия и нейното използване.</w:t>
            </w:r>
          </w:p>
        </w:tc>
        <w:tc>
          <w:tcPr>
            <w:tcW w:w="2030" w:type="dxa"/>
            <w:shd w:val="clear" w:color="auto" w:fill="auto"/>
          </w:tcPr>
          <w:p w:rsidR="007906A8" w:rsidRPr="00DD03BF" w:rsidRDefault="007906A8" w:rsidP="007906A8">
            <w:pPr>
              <w:rPr>
                <w:sz w:val="18"/>
                <w:szCs w:val="18"/>
                <w:lang w:val="bg"/>
              </w:rPr>
            </w:pPr>
            <w:r w:rsidRPr="00DD03BF">
              <w:rPr>
                <w:b/>
                <w:bCs/>
                <w:sz w:val="18"/>
                <w:szCs w:val="18"/>
                <w:lang w:val="bg"/>
              </w:rPr>
              <w:t>Данни за производството и потреблението:</w:t>
            </w:r>
          </w:p>
          <w:p w:rsidR="007906A8" w:rsidRPr="00DD03BF" w:rsidRDefault="007906A8" w:rsidP="007906A8">
            <w:pPr>
              <w:rPr>
                <w:sz w:val="18"/>
                <w:szCs w:val="18"/>
                <w:lang w:val="bg"/>
              </w:rPr>
            </w:pPr>
            <w:r w:rsidRPr="00DD03BF">
              <w:rPr>
                <w:sz w:val="18"/>
                <w:szCs w:val="18"/>
                <w:lang w:val="bg"/>
              </w:rPr>
              <w:t>Данни за произведената енергия и нейното използване.</w:t>
            </w:r>
          </w:p>
        </w:tc>
      </w:tr>
    </w:tbl>
    <w:p w:rsidR="007906A8" w:rsidRPr="0077019D" w:rsidRDefault="007906A8" w:rsidP="007906A8">
      <w:pPr>
        <w:rPr>
          <w:lang w:val="bg-BG"/>
        </w:rPr>
        <w:sectPr w:rsidR="007906A8" w:rsidRPr="0077019D" w:rsidSect="002E5488">
          <w:footerReference w:type="even" r:id="rId44"/>
          <w:footerReference w:type="default" r:id="rId45"/>
          <w:pgSz w:w="17175" w:h="12347" w:orient="landscape"/>
          <w:pgMar w:top="1417" w:right="1417" w:bottom="1417" w:left="1417" w:header="1134" w:footer="57" w:gutter="0"/>
          <w:cols w:space="720"/>
          <w:noEndnote/>
          <w:docGrid w:linePitch="360"/>
        </w:sectPr>
      </w:pP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lastRenderedPageBreak/>
        <w:t xml:space="preserve">От анализа на различните регистри и сравнителната таблица 3 става ясно, че структурите и съдържанието на проверяваните регистри са относително сходни. Регистрите на Австрия, Франция и Италия са в най-тясно съответствие с определенията, структурата и функцията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описани в </w:t>
      </w:r>
      <w:r w:rsidRPr="00DD03BF">
        <w:rPr>
          <w:rFonts w:ascii="Times New Roman" w:hAnsi="Times New Roman" w:cs="Times New Roman"/>
          <w:sz w:val="24"/>
          <w:szCs w:val="24"/>
          <w:lang w:val="bg-BG"/>
        </w:rPr>
        <w:t>ЗЕ и ЗЕВИ</w:t>
      </w:r>
      <w:r w:rsidRPr="00DD03BF">
        <w:rPr>
          <w:rFonts w:ascii="Times New Roman" w:hAnsi="Times New Roman" w:cs="Times New Roman"/>
          <w:sz w:val="24"/>
          <w:szCs w:val="24"/>
          <w:lang w:val="bg"/>
        </w:rPr>
        <w:t>.</w:t>
      </w: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При анализа на съдържанието на различните регистри като положителни се открояват следните отличителни черти:</w:t>
      </w:r>
    </w:p>
    <w:p w:rsidR="00DD03BF" w:rsidRDefault="007906A8" w:rsidP="00B01311">
      <w:pPr>
        <w:pStyle w:val="ListParagraph"/>
        <w:numPr>
          <w:ilvl w:val="0"/>
          <w:numId w:val="105"/>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Австрийските, немските, френските и италианските регистри включват описание на географското местоположение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съоръженията за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което позволява свързването им с интерактивни географски карти и географски информационни системи.</w:t>
      </w:r>
    </w:p>
    <w:p w:rsidR="007906A8" w:rsidRPr="00DD03BF" w:rsidRDefault="007906A8" w:rsidP="00B01311">
      <w:pPr>
        <w:pStyle w:val="ListParagraph"/>
        <w:numPr>
          <w:ilvl w:val="0"/>
          <w:numId w:val="105"/>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Регистрите на Австрия, Германия, Франция и Италия включват данни за произведената енергия и нейното използване, по-специално:</w:t>
      </w:r>
    </w:p>
    <w:p w:rsidR="00DD03BF" w:rsidRDefault="007906A8" w:rsidP="00B01311">
      <w:pPr>
        <w:pStyle w:val="ListParagraph"/>
        <w:numPr>
          <w:ilvl w:val="0"/>
          <w:numId w:val="106"/>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„Количество произведена енергия“: Количеството енергия, генерирано от общността, се записва, обикновено изразено в </w:t>
      </w:r>
      <w:r w:rsidRPr="008337BA">
        <w:rPr>
          <w:rFonts w:ascii="Times New Roman" w:hAnsi="Times New Roman" w:cs="Times New Roman"/>
          <w:sz w:val="24"/>
          <w:szCs w:val="24"/>
          <w:lang w:val="bg-BG"/>
        </w:rPr>
        <w:t>мегаватчаса</w:t>
      </w:r>
      <w:r w:rsidRPr="00DD03BF">
        <w:rPr>
          <w:rFonts w:ascii="Times New Roman" w:hAnsi="Times New Roman" w:cs="Times New Roman"/>
          <w:sz w:val="24"/>
          <w:szCs w:val="24"/>
          <w:lang w:val="bg"/>
        </w:rPr>
        <w:t xml:space="preserve"> (MWh).</w:t>
      </w:r>
    </w:p>
    <w:p w:rsidR="00DD03BF" w:rsidRDefault="007906A8" w:rsidP="00B01311">
      <w:pPr>
        <w:pStyle w:val="ListParagraph"/>
        <w:numPr>
          <w:ilvl w:val="0"/>
          <w:numId w:val="106"/>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„Източници на енергия“: Информация за различните технологии и възобновяеми източници, използвани за производство на енергия (напр. слънчева, вятърна, водноелектрическа).</w:t>
      </w:r>
    </w:p>
    <w:p w:rsidR="00DD03BF" w:rsidRDefault="007906A8" w:rsidP="00B01311">
      <w:pPr>
        <w:pStyle w:val="ListParagraph"/>
        <w:numPr>
          <w:ilvl w:val="0"/>
          <w:numId w:val="106"/>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„Потребление на енергия“: Количеството произведена енергия, използвано в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 за собствени нужди на общността, продадено на електрическата мрежа или предоставено като услуги на трети страни.</w:t>
      </w:r>
    </w:p>
    <w:p w:rsidR="00DD03BF" w:rsidRDefault="007906A8" w:rsidP="00B01311">
      <w:pPr>
        <w:pStyle w:val="ListParagraph"/>
        <w:numPr>
          <w:ilvl w:val="0"/>
          <w:numId w:val="106"/>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„Мониторинг и отчетност“: Изисквания за редовно докладване на произведената и използваната енергия, като се гарантира прозрачност и ус</w:t>
      </w:r>
      <w:r w:rsidR="00DD03BF">
        <w:rPr>
          <w:rFonts w:ascii="Times New Roman" w:hAnsi="Times New Roman" w:cs="Times New Roman"/>
          <w:sz w:val="24"/>
          <w:szCs w:val="24"/>
          <w:lang w:val="bg"/>
        </w:rPr>
        <w:t>тойчиво управление на ресурсите.</w:t>
      </w:r>
    </w:p>
    <w:p w:rsidR="00B7713F" w:rsidRDefault="007906A8" w:rsidP="00B01311">
      <w:pPr>
        <w:pStyle w:val="ListParagraph"/>
        <w:numPr>
          <w:ilvl w:val="0"/>
          <w:numId w:val="107"/>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Германският регистър включва също така „активен клиент“ и „потребител на собствена електроенергия от възобновяеми източници“, който трябва да се регистрира в „Marktstammdatenregister“. Регистрацията е задължителна за всеки, който произвежда енергия, независимо дали тя се използва за лични нужди или се продава. Това е част от усилията на Германия за прозрачност и ефективно управление на енергийния сектор</w:t>
      </w:r>
    </w:p>
    <w:p w:rsidR="00B7713F" w:rsidRDefault="00B7713F" w:rsidP="00B01311">
      <w:pPr>
        <w:pStyle w:val="ListParagraph"/>
        <w:numPr>
          <w:ilvl w:val="0"/>
          <w:numId w:val="107"/>
        </w:numPr>
        <w:spacing w:line="276" w:lineRule="auto"/>
        <w:jc w:val="both"/>
        <w:rPr>
          <w:rFonts w:ascii="Times New Roman" w:hAnsi="Times New Roman" w:cs="Times New Roman"/>
          <w:sz w:val="24"/>
          <w:szCs w:val="24"/>
          <w:lang w:val="bg"/>
        </w:rPr>
        <w:sectPr w:rsidR="00B7713F" w:rsidSect="002E5488">
          <w:footerReference w:type="even" r:id="rId46"/>
          <w:pgSz w:w="12211" w:h="17419"/>
          <w:pgMar w:top="1417" w:right="1417" w:bottom="1417" w:left="1417" w:header="1431" w:footer="3" w:gutter="0"/>
          <w:pgNumType w:start="83" w:chapStyle="1"/>
          <w:cols w:space="720"/>
          <w:noEndnote/>
          <w:docGrid w:linePitch="360"/>
        </w:sectPr>
      </w:pPr>
    </w:p>
    <w:p w:rsidR="007906A8" w:rsidRPr="00DD03BF" w:rsidRDefault="007906A8" w:rsidP="00F015E5">
      <w:pPr>
        <w:pStyle w:val="ListParagraph"/>
        <w:spacing w:line="276" w:lineRule="auto"/>
        <w:jc w:val="both"/>
        <w:rPr>
          <w:rFonts w:ascii="Times New Roman" w:hAnsi="Times New Roman" w:cs="Times New Roman"/>
          <w:sz w:val="24"/>
          <w:szCs w:val="24"/>
          <w:lang w:val="bg"/>
        </w:rPr>
      </w:pPr>
    </w:p>
    <w:p w:rsidR="007906A8" w:rsidRPr="007906A8" w:rsidRDefault="007906A8" w:rsidP="00DD03BF">
      <w:pPr>
        <w:jc w:val="center"/>
        <w:rPr>
          <w:lang w:val="bg"/>
        </w:rPr>
      </w:pPr>
      <w:r w:rsidRPr="007906A8">
        <w:rPr>
          <w:noProof/>
          <w:lang w:val="bg-BG" w:eastAsia="bg-BG"/>
        </w:rPr>
        <w:drawing>
          <wp:inline distT="0" distB="0" distL="0" distR="0" wp14:anchorId="12F30DCE" wp14:editId="116558CD">
            <wp:extent cx="3188335" cy="3176270"/>
            <wp:effectExtent l="0" t="0" r="0" b="0"/>
            <wp:docPr id="193" name="Пикутър 193"/>
            <wp:cNvGraphicFramePr/>
            <a:graphic xmlns:a="http://schemas.openxmlformats.org/drawingml/2006/main">
              <a:graphicData uri="http://schemas.openxmlformats.org/drawingml/2006/picture">
                <pic:pic xmlns:pic="http://schemas.openxmlformats.org/drawingml/2006/picture">
                  <pic:nvPicPr>
                    <pic:cNvPr id="193" name="Снимка 193"/>
                    <pic:cNvPicPr/>
                  </pic:nvPicPr>
                  <pic:blipFill>
                    <a:blip r:embed="rId47"/>
                    <a:stretch/>
                  </pic:blipFill>
                  <pic:spPr>
                    <a:xfrm>
                      <a:off x="0" y="0"/>
                      <a:ext cx="3188335" cy="3176270"/>
                    </a:xfrm>
                    <a:prstGeom prst="rect">
                      <a:avLst/>
                    </a:prstGeom>
                  </pic:spPr>
                </pic:pic>
              </a:graphicData>
            </a:graphic>
          </wp:inline>
        </w:drawing>
      </w:r>
    </w:p>
    <w:p w:rsidR="007906A8" w:rsidRPr="00F877E9" w:rsidRDefault="007906A8" w:rsidP="00CE6D3C">
      <w:pPr>
        <w:pStyle w:val="Heading2"/>
        <w:rPr>
          <w:rFonts w:ascii="Times New Roman" w:hAnsi="Times New Roman" w:cs="Times New Roman"/>
          <w:color w:val="24B1C0"/>
          <w:sz w:val="30"/>
          <w:szCs w:val="30"/>
          <w:lang w:val="bg"/>
        </w:rPr>
      </w:pPr>
      <w:bookmarkStart w:id="250" w:name="bookmark378"/>
      <w:bookmarkStart w:id="251" w:name="bookmark377"/>
      <w:bookmarkStart w:id="252" w:name="_Toc203141304"/>
      <w:r w:rsidRPr="00F877E9">
        <w:rPr>
          <w:rFonts w:ascii="Times New Roman" w:hAnsi="Times New Roman" w:cs="Times New Roman"/>
          <w:color w:val="24B1C0"/>
          <w:sz w:val="30"/>
          <w:szCs w:val="30"/>
          <w:lang w:val="bg"/>
        </w:rPr>
        <w:t>5.3 Модел на управление на регистъра, в който подробно се описват ролите и отговорностите на основните заинтересовани страни.</w:t>
      </w:r>
      <w:bookmarkEnd w:id="250"/>
      <w:bookmarkEnd w:id="251"/>
      <w:bookmarkEnd w:id="252"/>
    </w:p>
    <w:p w:rsidR="00DD03BF" w:rsidRPr="00DD03BF" w:rsidRDefault="00DD03BF" w:rsidP="00DD03BF">
      <w:pPr>
        <w:rPr>
          <w:lang w:val="bg"/>
        </w:rPr>
      </w:pPr>
    </w:p>
    <w:p w:rsidR="007906A8" w:rsidRPr="00DD03BF" w:rsidRDefault="00DD03BF" w:rsidP="00DD03BF">
      <w:pPr>
        <w:pStyle w:val="Heading3"/>
        <w:spacing w:line="276" w:lineRule="auto"/>
        <w:jc w:val="both"/>
        <w:rPr>
          <w:rFonts w:ascii="Times New Roman" w:hAnsi="Times New Roman" w:cs="Times New Roman"/>
          <w:color w:val="24B1C0"/>
          <w:sz w:val="28"/>
          <w:szCs w:val="28"/>
          <w:lang w:val="bg"/>
        </w:rPr>
      </w:pPr>
      <w:bookmarkStart w:id="253" w:name="bookmark381"/>
      <w:bookmarkStart w:id="254" w:name="bookmark380"/>
      <w:bookmarkStart w:id="255" w:name="_Toc203141305"/>
      <w:r w:rsidRPr="00DD03BF">
        <w:rPr>
          <w:rFonts w:ascii="Times New Roman" w:hAnsi="Times New Roman" w:cs="Times New Roman"/>
          <w:color w:val="24B1C0"/>
          <w:sz w:val="28"/>
          <w:szCs w:val="28"/>
          <w:lang w:val="bg"/>
        </w:rPr>
        <w:t xml:space="preserve">5.3.1 </w:t>
      </w:r>
      <w:r w:rsidR="007906A8" w:rsidRPr="00DD03BF">
        <w:rPr>
          <w:rFonts w:ascii="Times New Roman" w:hAnsi="Times New Roman" w:cs="Times New Roman"/>
          <w:color w:val="24B1C0"/>
          <w:sz w:val="28"/>
          <w:szCs w:val="28"/>
          <w:lang w:val="bg"/>
        </w:rPr>
        <w:t xml:space="preserve">Информация, свързана с </w:t>
      </w:r>
      <w:r w:rsidR="007906A8" w:rsidRPr="00DD03BF">
        <w:rPr>
          <w:rFonts w:ascii="Times New Roman" w:hAnsi="Times New Roman" w:cs="Times New Roman"/>
          <w:color w:val="24B1C0"/>
          <w:sz w:val="28"/>
          <w:szCs w:val="28"/>
        </w:rPr>
        <w:t>CEC</w:t>
      </w:r>
      <w:r w:rsidR="007906A8" w:rsidRPr="00DD03BF">
        <w:rPr>
          <w:rFonts w:ascii="Times New Roman" w:hAnsi="Times New Roman" w:cs="Times New Roman"/>
          <w:color w:val="24B1C0"/>
          <w:sz w:val="28"/>
          <w:szCs w:val="28"/>
          <w:lang w:val="bg"/>
        </w:rPr>
        <w:t xml:space="preserve"> и </w:t>
      </w:r>
      <w:r w:rsidR="007906A8" w:rsidRPr="00DD03BF">
        <w:rPr>
          <w:rFonts w:ascii="Times New Roman" w:hAnsi="Times New Roman" w:cs="Times New Roman"/>
          <w:color w:val="24B1C0"/>
          <w:sz w:val="28"/>
          <w:szCs w:val="28"/>
        </w:rPr>
        <w:t>REC</w:t>
      </w:r>
      <w:r w:rsidR="007906A8" w:rsidRPr="00DD03BF">
        <w:rPr>
          <w:rFonts w:ascii="Times New Roman" w:hAnsi="Times New Roman" w:cs="Times New Roman"/>
          <w:color w:val="24B1C0"/>
          <w:sz w:val="28"/>
          <w:szCs w:val="28"/>
          <w:lang w:val="bg"/>
        </w:rPr>
        <w:t>, управлявани от регистъра на енергийната общност</w:t>
      </w:r>
      <w:bookmarkEnd w:id="253"/>
      <w:bookmarkEnd w:id="254"/>
      <w:bookmarkEnd w:id="255"/>
    </w:p>
    <w:p w:rsidR="00DD03BF" w:rsidRDefault="00DD03BF" w:rsidP="00DD03BF">
      <w:pPr>
        <w:spacing w:after="0" w:line="276" w:lineRule="auto"/>
        <w:rPr>
          <w:lang w:val="bg"/>
        </w:rPr>
      </w:pP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След анализ на съдържанието на регистрите, описани в таблица 3, и след преглед на дейностите, условията за регистрация и функционирането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описани в член 92б от ЗЕ и член 18а от </w:t>
      </w:r>
      <w:r w:rsidRPr="00DD03BF">
        <w:rPr>
          <w:rFonts w:ascii="Times New Roman" w:hAnsi="Times New Roman" w:cs="Times New Roman"/>
          <w:sz w:val="24"/>
          <w:szCs w:val="24"/>
          <w:lang w:val="bg-BG"/>
        </w:rPr>
        <w:t>ЗЕВИ</w:t>
      </w:r>
      <w:r w:rsidRPr="00DD03BF">
        <w:rPr>
          <w:rFonts w:ascii="Times New Roman" w:hAnsi="Times New Roman" w:cs="Times New Roman"/>
          <w:sz w:val="24"/>
          <w:szCs w:val="24"/>
          <w:lang w:val="bg"/>
        </w:rPr>
        <w:t xml:space="preserve">, както и след анализ на изискванията на определенията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посочени в допълнителните разпоредби на ЗЕ и </w:t>
      </w:r>
      <w:r w:rsidRPr="00DD03BF">
        <w:rPr>
          <w:rFonts w:ascii="Times New Roman" w:hAnsi="Times New Roman" w:cs="Times New Roman"/>
          <w:sz w:val="24"/>
          <w:szCs w:val="24"/>
          <w:lang w:val="bg-BG"/>
        </w:rPr>
        <w:t>ЗЕВИ</w:t>
      </w:r>
      <w:r w:rsidRPr="00DD03BF">
        <w:rPr>
          <w:rFonts w:ascii="Times New Roman" w:hAnsi="Times New Roman" w:cs="Times New Roman"/>
          <w:sz w:val="24"/>
          <w:szCs w:val="24"/>
          <w:lang w:val="bg"/>
        </w:rPr>
        <w:t xml:space="preserve">, за единния национален регистър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се предлага следната информация за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w:t>
      </w:r>
    </w:p>
    <w:p w:rsidR="007906A8" w:rsidRPr="00DD03BF" w:rsidRDefault="007906A8" w:rsidP="00B01311">
      <w:pPr>
        <w:pStyle w:val="ListParagraph"/>
        <w:numPr>
          <w:ilvl w:val="0"/>
          <w:numId w:val="108"/>
        </w:numPr>
        <w:spacing w:line="276" w:lineRule="auto"/>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Идентификационни данни:</w:t>
      </w:r>
    </w:p>
    <w:p w:rsidR="00DD03BF" w:rsidRPr="00DD03BF" w:rsidRDefault="00DD03BF" w:rsidP="00DD03BF">
      <w:pPr>
        <w:pStyle w:val="ListParagraph"/>
        <w:spacing w:after="0" w:line="240" w:lineRule="auto"/>
        <w:jc w:val="both"/>
        <w:rPr>
          <w:rFonts w:ascii="Times New Roman" w:hAnsi="Times New Roman" w:cs="Times New Roman"/>
          <w:sz w:val="24"/>
          <w:szCs w:val="24"/>
          <w:lang w:val="bg"/>
        </w:rPr>
      </w:pPr>
    </w:p>
    <w:p w:rsidR="00DD03BF" w:rsidRPr="00DD03BF" w:rsidRDefault="007906A8" w:rsidP="00B01311">
      <w:pPr>
        <w:pStyle w:val="ListParagraph"/>
        <w:numPr>
          <w:ilvl w:val="0"/>
          <w:numId w:val="107"/>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Наименование на енергийната общност.</w:t>
      </w:r>
    </w:p>
    <w:p w:rsidR="007906A8" w:rsidRDefault="007906A8" w:rsidP="00B01311">
      <w:pPr>
        <w:pStyle w:val="ListParagraph"/>
        <w:numPr>
          <w:ilvl w:val="0"/>
          <w:numId w:val="107"/>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Дата на установяване.</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7906A8" w:rsidRPr="00DD03BF" w:rsidRDefault="007906A8" w:rsidP="00B01311">
      <w:pPr>
        <w:pStyle w:val="ListParagraph"/>
        <w:numPr>
          <w:ilvl w:val="0"/>
          <w:numId w:val="108"/>
        </w:numPr>
        <w:spacing w:line="276" w:lineRule="auto"/>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Правен статут:</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7906A8" w:rsidRDefault="007906A8" w:rsidP="00B01311">
      <w:pPr>
        <w:pStyle w:val="ListParagraph"/>
        <w:numPr>
          <w:ilvl w:val="0"/>
          <w:numId w:val="109"/>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Вид на организацията (кооперация, сдружение, дружество и др.).</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7906A8" w:rsidRPr="00DD03BF" w:rsidRDefault="007906A8" w:rsidP="00B01311">
      <w:pPr>
        <w:pStyle w:val="ListParagraph"/>
        <w:numPr>
          <w:ilvl w:val="0"/>
          <w:numId w:val="108"/>
        </w:numPr>
        <w:spacing w:line="276" w:lineRule="auto"/>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Тип на Общността:</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DD03BF" w:rsidRPr="00DD03BF" w:rsidRDefault="007906A8" w:rsidP="00B01311">
      <w:pPr>
        <w:pStyle w:val="ListParagraph"/>
        <w:numPr>
          <w:ilvl w:val="0"/>
          <w:numId w:val="109"/>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Общност за възобновяема енергия (REC), насърчаваща местните възобновяеми източници.</w:t>
      </w:r>
    </w:p>
    <w:p w:rsidR="00DD03BF" w:rsidRPr="00DD03BF" w:rsidRDefault="007906A8" w:rsidP="00B01311">
      <w:pPr>
        <w:pStyle w:val="ListParagraph"/>
        <w:numPr>
          <w:ilvl w:val="0"/>
          <w:numId w:val="109"/>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Гражданска енергийна общност (CEC), която може да включва както възобновяеми, така и невъзобновяеми източници.</w:t>
      </w:r>
    </w:p>
    <w:p w:rsidR="007906A8" w:rsidRPr="00DD03BF" w:rsidRDefault="007906A8" w:rsidP="00B01311">
      <w:pPr>
        <w:pStyle w:val="ListParagraph"/>
        <w:numPr>
          <w:ilvl w:val="0"/>
          <w:numId w:val="109"/>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lastRenderedPageBreak/>
        <w:t>Производствени съоръжения:</w:t>
      </w:r>
    </w:p>
    <w:p w:rsidR="00DD03BF" w:rsidRPr="00DD03BF" w:rsidRDefault="007906A8" w:rsidP="00B01311">
      <w:pPr>
        <w:pStyle w:val="ListParagraph"/>
        <w:numPr>
          <w:ilvl w:val="0"/>
          <w:numId w:val="110"/>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Тип (слънчеви панели, вятърни турбини, инсталации за биогаз и др.).</w:t>
      </w:r>
    </w:p>
    <w:p w:rsidR="00DD03BF" w:rsidRPr="00DD03BF" w:rsidRDefault="007906A8" w:rsidP="00B01311">
      <w:pPr>
        <w:pStyle w:val="ListParagraph"/>
        <w:numPr>
          <w:ilvl w:val="0"/>
          <w:numId w:val="110"/>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Инсталирана мощност (в kW или MW).</w:t>
      </w:r>
    </w:p>
    <w:p w:rsidR="007906A8" w:rsidRDefault="007906A8" w:rsidP="00B01311">
      <w:pPr>
        <w:pStyle w:val="ListParagraph"/>
        <w:numPr>
          <w:ilvl w:val="0"/>
          <w:numId w:val="110"/>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Дата на въвеждане в експлоатация</w:t>
      </w:r>
    </w:p>
    <w:p w:rsidR="00DD03BF" w:rsidRPr="00DD03BF" w:rsidRDefault="00DD03BF" w:rsidP="00DD03BF">
      <w:pPr>
        <w:pStyle w:val="ListParagraph"/>
        <w:spacing w:line="276" w:lineRule="auto"/>
        <w:ind w:left="1080"/>
        <w:jc w:val="both"/>
        <w:rPr>
          <w:rFonts w:ascii="Times New Roman" w:hAnsi="Times New Roman" w:cs="Times New Roman"/>
          <w:sz w:val="24"/>
          <w:szCs w:val="24"/>
          <w:lang w:val="bg"/>
        </w:rPr>
      </w:pPr>
    </w:p>
    <w:p w:rsidR="007906A8" w:rsidRPr="00DD03BF" w:rsidRDefault="007906A8" w:rsidP="00B01311">
      <w:pPr>
        <w:pStyle w:val="ListParagraph"/>
        <w:numPr>
          <w:ilvl w:val="0"/>
          <w:numId w:val="108"/>
        </w:numPr>
        <w:spacing w:line="276" w:lineRule="auto"/>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Брой на участниците:</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7906A8" w:rsidRPr="00DD03BF" w:rsidRDefault="007906A8" w:rsidP="00B01311">
      <w:pPr>
        <w:pStyle w:val="ListParagraph"/>
        <w:numPr>
          <w:ilvl w:val="0"/>
          <w:numId w:val="111"/>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Брой домакинства, предприятия или други субекти, които са част от общността.</w:t>
      </w:r>
    </w:p>
    <w:p w:rsidR="007906A8" w:rsidRPr="00DD03BF" w:rsidRDefault="007906A8" w:rsidP="00B01311">
      <w:pPr>
        <w:numPr>
          <w:ilvl w:val="0"/>
          <w:numId w:val="108"/>
        </w:numPr>
        <w:spacing w:line="276" w:lineRule="auto"/>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Категории участници:</w:t>
      </w:r>
    </w:p>
    <w:p w:rsidR="00DD03BF" w:rsidRPr="00DD03BF" w:rsidRDefault="007906A8" w:rsidP="00B01311">
      <w:pPr>
        <w:pStyle w:val="ListParagraph"/>
        <w:numPr>
          <w:ilvl w:val="0"/>
          <w:numId w:val="111"/>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Индивидуални лица.</w:t>
      </w:r>
    </w:p>
    <w:p w:rsidR="00DD03BF" w:rsidRPr="00DD03BF" w:rsidRDefault="007906A8" w:rsidP="00B01311">
      <w:pPr>
        <w:pStyle w:val="ListParagraph"/>
        <w:numPr>
          <w:ilvl w:val="0"/>
          <w:numId w:val="111"/>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Малки и средни предприятия (МСП).</w:t>
      </w:r>
    </w:p>
    <w:p w:rsidR="007906A8" w:rsidRPr="00DD03BF" w:rsidRDefault="007906A8" w:rsidP="00B01311">
      <w:pPr>
        <w:pStyle w:val="ListParagraph"/>
        <w:numPr>
          <w:ilvl w:val="0"/>
          <w:numId w:val="111"/>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Публични институции (напр. училища, общини).</w:t>
      </w:r>
    </w:p>
    <w:p w:rsidR="007906A8" w:rsidRPr="00DD03BF" w:rsidRDefault="007906A8" w:rsidP="00B01311">
      <w:pPr>
        <w:numPr>
          <w:ilvl w:val="0"/>
          <w:numId w:val="108"/>
        </w:numPr>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Правна и регулаторна информация:</w:t>
      </w:r>
    </w:p>
    <w:p w:rsidR="00DD03BF" w:rsidRDefault="007906A8" w:rsidP="00B01311">
      <w:pPr>
        <w:pStyle w:val="ListParagraph"/>
        <w:numPr>
          <w:ilvl w:val="0"/>
          <w:numId w:val="112"/>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Устав на Общността: Основни правила и цели на енергийната общност.</w:t>
      </w:r>
    </w:p>
    <w:p w:rsidR="00DD03BF" w:rsidRDefault="007906A8" w:rsidP="00B01311">
      <w:pPr>
        <w:pStyle w:val="ListParagraph"/>
        <w:numPr>
          <w:ilvl w:val="0"/>
          <w:numId w:val="112"/>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Лицензи и разрешителни: Информация относно регулаторните изисквания и спазването на законодателството.</w:t>
      </w:r>
    </w:p>
    <w:p w:rsidR="007906A8" w:rsidRDefault="007906A8" w:rsidP="00B01311">
      <w:pPr>
        <w:pStyle w:val="ListParagraph"/>
        <w:numPr>
          <w:ilvl w:val="0"/>
          <w:numId w:val="112"/>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Споразумения: Договори между членове на общността и ОПС и ОРС.</w:t>
      </w:r>
    </w:p>
    <w:p w:rsidR="00DD03BF" w:rsidRPr="00DD03BF" w:rsidRDefault="00DD03BF" w:rsidP="00DD03BF">
      <w:pPr>
        <w:pStyle w:val="ListParagraph"/>
        <w:jc w:val="both"/>
        <w:rPr>
          <w:rFonts w:ascii="Times New Roman" w:hAnsi="Times New Roman" w:cs="Times New Roman"/>
          <w:sz w:val="24"/>
          <w:szCs w:val="24"/>
          <w:lang w:val="bg"/>
        </w:rPr>
      </w:pPr>
    </w:p>
    <w:p w:rsidR="007906A8" w:rsidRPr="00DD03BF" w:rsidRDefault="007906A8" w:rsidP="00B01311">
      <w:pPr>
        <w:numPr>
          <w:ilvl w:val="0"/>
          <w:numId w:val="108"/>
        </w:numPr>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Финансова информация:</w:t>
      </w:r>
    </w:p>
    <w:p w:rsidR="00DD03BF" w:rsidRDefault="007906A8" w:rsidP="00B01311">
      <w:pPr>
        <w:pStyle w:val="ListParagraph"/>
        <w:numPr>
          <w:ilvl w:val="0"/>
          <w:numId w:val="113"/>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Източници на финансиране: Членски внос, грантове, заеми и други.</w:t>
      </w:r>
    </w:p>
    <w:p w:rsidR="007906A8" w:rsidRDefault="007906A8" w:rsidP="00B01311">
      <w:pPr>
        <w:pStyle w:val="ListParagraph"/>
        <w:numPr>
          <w:ilvl w:val="0"/>
          <w:numId w:val="113"/>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Инвестиции: Данни за инвестициите, направени в общността.</w:t>
      </w:r>
    </w:p>
    <w:p w:rsidR="00DD03BF" w:rsidRPr="00DD03BF" w:rsidRDefault="00DD03BF" w:rsidP="00DD03BF">
      <w:pPr>
        <w:pStyle w:val="ListParagraph"/>
        <w:jc w:val="both"/>
        <w:rPr>
          <w:rFonts w:ascii="Times New Roman" w:hAnsi="Times New Roman" w:cs="Times New Roman"/>
          <w:sz w:val="24"/>
          <w:szCs w:val="24"/>
          <w:lang w:val="bg"/>
        </w:rPr>
      </w:pPr>
    </w:p>
    <w:p w:rsidR="007906A8" w:rsidRPr="00DD03BF" w:rsidRDefault="007906A8" w:rsidP="00B01311">
      <w:pPr>
        <w:numPr>
          <w:ilvl w:val="0"/>
          <w:numId w:val="108"/>
        </w:numPr>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Информация за връзка:</w:t>
      </w:r>
    </w:p>
    <w:p w:rsidR="00DD03BF" w:rsidRDefault="007906A8" w:rsidP="00B01311">
      <w:pPr>
        <w:pStyle w:val="ListParagraph"/>
        <w:numPr>
          <w:ilvl w:val="0"/>
          <w:numId w:val="114"/>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Адрес на централата.</w:t>
      </w:r>
    </w:p>
    <w:p w:rsidR="00DD03BF" w:rsidRDefault="007906A8" w:rsidP="00B01311">
      <w:pPr>
        <w:pStyle w:val="ListParagraph"/>
        <w:numPr>
          <w:ilvl w:val="0"/>
          <w:numId w:val="114"/>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Лице за контакт: Име, телефонен номер и имейл.</w:t>
      </w:r>
    </w:p>
    <w:p w:rsidR="007906A8" w:rsidRDefault="007906A8" w:rsidP="00B01311">
      <w:pPr>
        <w:pStyle w:val="ListParagraph"/>
        <w:numPr>
          <w:ilvl w:val="0"/>
          <w:numId w:val="114"/>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Управителен съвет: Информация за членовете на ръководния екип.</w:t>
      </w:r>
    </w:p>
    <w:p w:rsidR="00DD03BF" w:rsidRPr="00DD03BF" w:rsidRDefault="00DD03BF" w:rsidP="00DD03BF">
      <w:pPr>
        <w:pStyle w:val="ListParagraph"/>
        <w:jc w:val="both"/>
        <w:rPr>
          <w:rFonts w:ascii="Times New Roman" w:hAnsi="Times New Roman" w:cs="Times New Roman"/>
          <w:sz w:val="24"/>
          <w:szCs w:val="24"/>
          <w:lang w:val="bg"/>
        </w:rPr>
      </w:pPr>
    </w:p>
    <w:p w:rsidR="007906A8" w:rsidRPr="00DD03BF" w:rsidRDefault="007906A8" w:rsidP="00B01311">
      <w:pPr>
        <w:numPr>
          <w:ilvl w:val="0"/>
          <w:numId w:val="108"/>
        </w:numPr>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Географско местоположение:</w:t>
      </w:r>
    </w:p>
    <w:p w:rsidR="00DD03BF" w:rsidRDefault="007906A8" w:rsidP="00B01311">
      <w:pPr>
        <w:pStyle w:val="ListParagraph"/>
        <w:numPr>
          <w:ilvl w:val="0"/>
          <w:numId w:val="115"/>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Местоположение на общината: Район или община, където действа енергийната общност.</w:t>
      </w:r>
    </w:p>
    <w:p w:rsidR="007906A8" w:rsidRDefault="007906A8" w:rsidP="00B01311">
      <w:pPr>
        <w:pStyle w:val="ListParagraph"/>
        <w:numPr>
          <w:ilvl w:val="0"/>
          <w:numId w:val="115"/>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Области на дейност: Територия, обхваната от мрежата на общността, включително местоположението на съоръженията за производство и потребление на енергия.</w:t>
      </w:r>
    </w:p>
    <w:p w:rsidR="00DD03BF" w:rsidRPr="00DD03BF" w:rsidRDefault="00DD03BF" w:rsidP="00DD03BF">
      <w:pPr>
        <w:pStyle w:val="ListParagraph"/>
        <w:jc w:val="both"/>
        <w:rPr>
          <w:rFonts w:ascii="Times New Roman" w:hAnsi="Times New Roman" w:cs="Times New Roman"/>
          <w:sz w:val="24"/>
          <w:szCs w:val="24"/>
          <w:lang w:val="bg"/>
        </w:rPr>
      </w:pPr>
    </w:p>
    <w:p w:rsidR="007906A8" w:rsidRPr="00DD03BF" w:rsidRDefault="007906A8" w:rsidP="00B01311">
      <w:pPr>
        <w:numPr>
          <w:ilvl w:val="0"/>
          <w:numId w:val="108"/>
        </w:numPr>
        <w:jc w:val="both"/>
        <w:rPr>
          <w:rFonts w:ascii="Times New Roman" w:hAnsi="Times New Roman" w:cs="Times New Roman"/>
          <w:sz w:val="24"/>
          <w:szCs w:val="24"/>
          <w:lang w:val="bg"/>
        </w:rPr>
      </w:pPr>
      <w:r w:rsidRPr="00DD03BF">
        <w:rPr>
          <w:rFonts w:ascii="Times New Roman" w:hAnsi="Times New Roman" w:cs="Times New Roman"/>
          <w:b/>
          <w:bCs/>
          <w:sz w:val="24"/>
          <w:szCs w:val="24"/>
          <w:lang w:val="bg"/>
        </w:rPr>
        <w:t>Данни за енергийния поток:</w:t>
      </w:r>
    </w:p>
    <w:p w:rsidR="00DD03BF" w:rsidRDefault="007906A8" w:rsidP="00B01311">
      <w:pPr>
        <w:pStyle w:val="ListParagraph"/>
        <w:numPr>
          <w:ilvl w:val="0"/>
          <w:numId w:val="116"/>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Производство: Количеството енергия, произведено от общината.</w:t>
      </w:r>
    </w:p>
    <w:p w:rsidR="00DD03BF" w:rsidRDefault="007906A8" w:rsidP="00B01311">
      <w:pPr>
        <w:pStyle w:val="ListParagraph"/>
        <w:numPr>
          <w:ilvl w:val="0"/>
          <w:numId w:val="116"/>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Собствено потребление: Енергията се използва вътрешно в рамките на общността.</w:t>
      </w:r>
    </w:p>
    <w:p w:rsidR="00DD03BF" w:rsidRDefault="007906A8" w:rsidP="00B01311">
      <w:pPr>
        <w:pStyle w:val="ListParagraph"/>
        <w:numPr>
          <w:ilvl w:val="0"/>
          <w:numId w:val="116"/>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Споделена енергия: Енергия, предоставяна на членовете на общността.</w:t>
      </w:r>
    </w:p>
    <w:p w:rsidR="007906A8" w:rsidRDefault="007906A8" w:rsidP="00B01311">
      <w:pPr>
        <w:pStyle w:val="ListParagraph"/>
        <w:numPr>
          <w:ilvl w:val="0"/>
          <w:numId w:val="116"/>
        </w:numPr>
        <w:jc w:val="both"/>
        <w:rPr>
          <w:rFonts w:ascii="Times New Roman" w:hAnsi="Times New Roman" w:cs="Times New Roman"/>
          <w:sz w:val="24"/>
          <w:szCs w:val="24"/>
          <w:lang w:val="bg"/>
        </w:rPr>
      </w:pPr>
      <w:r w:rsidRPr="00DD03BF">
        <w:rPr>
          <w:rFonts w:ascii="Times New Roman" w:hAnsi="Times New Roman" w:cs="Times New Roman"/>
          <w:sz w:val="24"/>
          <w:szCs w:val="24"/>
          <w:lang w:val="bg"/>
        </w:rPr>
        <w:t>Продажба на излишна енергия: Данни за енергията, продадена на трети страни или подадена обратно в мрежата.</w:t>
      </w:r>
    </w:p>
    <w:p w:rsidR="00DD03BF" w:rsidRPr="00DD03BF" w:rsidRDefault="00DD03BF" w:rsidP="00DD03BF">
      <w:pPr>
        <w:pStyle w:val="ListParagraph"/>
        <w:jc w:val="both"/>
        <w:rPr>
          <w:rFonts w:ascii="Times New Roman" w:hAnsi="Times New Roman" w:cs="Times New Roman"/>
          <w:sz w:val="24"/>
          <w:szCs w:val="24"/>
          <w:lang w:val="bg"/>
        </w:rPr>
      </w:pPr>
    </w:p>
    <w:p w:rsidR="007906A8" w:rsidRDefault="007906A8" w:rsidP="00B01311">
      <w:pPr>
        <w:pStyle w:val="Heading3"/>
        <w:numPr>
          <w:ilvl w:val="2"/>
          <w:numId w:val="117"/>
        </w:numPr>
        <w:spacing w:line="276" w:lineRule="auto"/>
        <w:jc w:val="both"/>
        <w:rPr>
          <w:rFonts w:ascii="Times New Roman" w:hAnsi="Times New Roman" w:cs="Times New Roman"/>
          <w:color w:val="24B1C0"/>
          <w:sz w:val="28"/>
          <w:szCs w:val="28"/>
          <w:lang w:val="bg"/>
        </w:rPr>
      </w:pPr>
      <w:bookmarkStart w:id="256" w:name="bookmark384"/>
      <w:bookmarkStart w:id="257" w:name="bookmark383"/>
      <w:bookmarkStart w:id="258" w:name="_Toc203141306"/>
      <w:r w:rsidRPr="00DD03BF">
        <w:rPr>
          <w:rFonts w:ascii="Times New Roman" w:hAnsi="Times New Roman" w:cs="Times New Roman"/>
          <w:color w:val="24B1C0"/>
          <w:sz w:val="28"/>
          <w:szCs w:val="28"/>
          <w:lang w:val="bg"/>
        </w:rPr>
        <w:lastRenderedPageBreak/>
        <w:t>Модел на управление на регистъра</w:t>
      </w:r>
      <w:bookmarkEnd w:id="256"/>
      <w:bookmarkEnd w:id="257"/>
      <w:bookmarkEnd w:id="258"/>
    </w:p>
    <w:p w:rsidR="00DD03BF" w:rsidRPr="00DD03BF" w:rsidRDefault="00DD03BF" w:rsidP="00DD03BF">
      <w:pPr>
        <w:rPr>
          <w:lang w:val="bg"/>
        </w:rPr>
      </w:pP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Както е описано в пътната карта от хранилището на енергийните общности,</w:t>
      </w:r>
      <w:hyperlink w:anchor="bookmark76" w:tooltip="Current Document">
        <w:r w:rsidRPr="00F015E5">
          <w:rPr>
            <w:rStyle w:val="Hyperlink"/>
            <w:rFonts w:ascii="Times New Roman" w:hAnsi="Times New Roman" w:cs="Times New Roman"/>
            <w:sz w:val="24"/>
            <w:szCs w:val="24"/>
            <w:vertAlign w:val="superscript"/>
            <w:lang w:val="bg"/>
          </w:rPr>
          <w:footnoteReference w:id="70"/>
        </w:r>
      </w:hyperlink>
      <w:r w:rsidRPr="00F015E5">
        <w:rPr>
          <w:rFonts w:ascii="Times New Roman" w:hAnsi="Times New Roman" w:cs="Times New Roman"/>
          <w:sz w:val="24"/>
          <w:szCs w:val="24"/>
          <w:vertAlign w:val="superscript"/>
          <w:lang w:val="bg"/>
        </w:rPr>
        <w:t xml:space="preserve"> </w:t>
      </w:r>
      <w:r w:rsidRPr="00DD03BF">
        <w:rPr>
          <w:rFonts w:ascii="Times New Roman" w:hAnsi="Times New Roman" w:cs="Times New Roman"/>
          <w:sz w:val="24"/>
          <w:szCs w:val="24"/>
          <w:lang w:val="bg"/>
        </w:rPr>
        <w:t>в държавите — членки на ЕС, които са разработили система за регистриране на енергийните общности, могат да се наблюдават три общи подхода:</w:t>
      </w:r>
    </w:p>
    <w:p w:rsidR="007906A8" w:rsidRDefault="007906A8" w:rsidP="00B01311">
      <w:pPr>
        <w:pStyle w:val="ListParagraph"/>
        <w:numPr>
          <w:ilvl w:val="0"/>
          <w:numId w:val="118"/>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Някои държави членки определят орган (НРО или агенция), който да създаде регистър на енергийните общности. От холистична гледна точка такава система е идеална, тъй като дава възможност за ясно идентифициране на енергийна общност, която може да се използва независимо от извършваната дейност. Той също така се свързва по-лесно с дългосрочното наблюдение с течение на времето.</w:t>
      </w:r>
    </w:p>
    <w:p w:rsidR="00DD03BF" w:rsidRPr="00DD03BF" w:rsidRDefault="00DD03BF" w:rsidP="00DD03BF">
      <w:pPr>
        <w:pStyle w:val="ListParagraph"/>
        <w:spacing w:line="276" w:lineRule="auto"/>
        <w:jc w:val="both"/>
        <w:rPr>
          <w:rFonts w:ascii="Times New Roman" w:hAnsi="Times New Roman" w:cs="Times New Roman"/>
          <w:sz w:val="24"/>
          <w:szCs w:val="24"/>
          <w:lang w:val="bg"/>
        </w:rPr>
      </w:pPr>
    </w:p>
    <w:p w:rsidR="00DD03BF" w:rsidRDefault="007906A8" w:rsidP="00B01311">
      <w:pPr>
        <w:pStyle w:val="ListParagraph"/>
        <w:numPr>
          <w:ilvl w:val="0"/>
          <w:numId w:val="118"/>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Някои държави членки са създали пазар на критерии за предварително класиране, на който участниците трябва да отговарят, за да получат достъп до специфични схеми за подпомагане на РИО. Интегрирането на критерии за предварително класиране на енергийните общности в рамките на различни механизми или процедури за подкрепа може да допълва създаването на общ процес на регистрация. При липсата на рамка за регистрация използването на критерии за предварителен подбор може да бъде полезна първа стъпка за даване на тласък на енергийните общности, като същевременно се въвежда по-цялостна национална рамка.</w:t>
      </w:r>
    </w:p>
    <w:p w:rsidR="00DD03BF" w:rsidRPr="00DD03BF" w:rsidRDefault="00DD03BF" w:rsidP="00DD03BF">
      <w:pPr>
        <w:pStyle w:val="ListParagraph"/>
        <w:rPr>
          <w:rFonts w:ascii="Times New Roman" w:hAnsi="Times New Roman" w:cs="Times New Roman"/>
          <w:sz w:val="24"/>
          <w:szCs w:val="24"/>
          <w:lang w:val="bg"/>
        </w:rPr>
      </w:pPr>
    </w:p>
    <w:p w:rsidR="007906A8" w:rsidRPr="00DD03BF" w:rsidRDefault="007906A8" w:rsidP="00B01311">
      <w:pPr>
        <w:pStyle w:val="ListParagraph"/>
        <w:numPr>
          <w:ilvl w:val="0"/>
          <w:numId w:val="118"/>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Няколко държави членки съчетават регистрацията на енергийна общност с по-официална процедура за лицензиране, за да участват в конкретни дейности в енергийния сектор (напр. споделяне на енергия). Това би могло да спомогне за рационализиране на процеса на регистрация, тъй като много енергийни общности също се опитват да създадат проект за споделяне на енергия. Въпреки това, когато се използва този подход, има потенциални недостатъци, които може да се наложи да бъдат избегнати. В държавите членки, в които е използван такъв подход, той съвпада с разграничение между регулирането на конкретни дейности, като например споделянето на енергия, и енергийните общности, които са организационна концепция. Това може да доведе до погрешно възприемане на социално-икономическата добавена стойност на енергийните общности. Това може също така да доведе до налагането на прекалено технически изисквания на новите енергийни общности, например капиталови изисквания, доказуем технически капацитет или съществуващ проект. Тези изисквания пренебрегват факта, че повечето нови енергийни общности се формират преди осъществяването на конкретен проект, обикновено започват с малък капацитет и могат да имат по-широки цели, обхващащи повече от една дейност.</w:t>
      </w:r>
    </w:p>
    <w:p w:rsidR="007906A8" w:rsidRPr="00FA7995" w:rsidRDefault="007906A8" w:rsidP="00DD03BF">
      <w:pPr>
        <w:spacing w:line="276" w:lineRule="auto"/>
        <w:jc w:val="both"/>
        <w:rPr>
          <w:rFonts w:ascii="Times New Roman" w:hAnsi="Times New Roman" w:cs="Times New Roman"/>
          <w:i/>
          <w:iCs/>
          <w:color w:val="24B9C0"/>
          <w:sz w:val="32"/>
          <w:szCs w:val="32"/>
          <w:lang w:val="bg"/>
        </w:rPr>
      </w:pPr>
      <w:r w:rsidRPr="00FA7995">
        <w:rPr>
          <w:rFonts w:ascii="Times New Roman" w:hAnsi="Times New Roman" w:cs="Times New Roman"/>
          <w:i/>
          <w:color w:val="24B9C0"/>
          <w:sz w:val="32"/>
          <w:szCs w:val="32"/>
          <w:lang w:val="bg"/>
        </w:rPr>
        <w:t xml:space="preserve">Създаването на единен национален регистър на ЦИК и РЕЦ в България е решаваща стъпка към интегриране на децентрализираното производство на енергия, насърчаване на </w:t>
      </w:r>
      <w:r w:rsidRPr="00FA7995">
        <w:rPr>
          <w:rFonts w:ascii="Times New Roman" w:hAnsi="Times New Roman" w:cs="Times New Roman"/>
          <w:i/>
          <w:color w:val="24B9C0"/>
          <w:sz w:val="32"/>
          <w:szCs w:val="32"/>
          <w:lang w:val="bg"/>
        </w:rPr>
        <w:lastRenderedPageBreak/>
        <w:t>устойчивото енергийно развитие и осигуряване на прозрачност в сектора.</w:t>
      </w: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Независимо от подхода, доказването на доказателствени изисквания за регистрация или предварителна квалификация трябва да бъде лесно и просто за енергийните общности. Без да се смесват понятията, процедурите за регистрация като енергийна общност могат да бъдат рационализирани с други приложими процедури. В много държави членки учредяването на правен субект вече изисква регистрация, например в регистъра на търговските дружества. Това е важно да се има предвид, тъй като това може да предполага координация между различните национални органи. Изискванията за регистрация и предварително класиране трябва да бъдат възможно най-леки, за да не се претоварва енергийната общност. Когато енергийните общности вече са създали правен субект, който би могъл да отговаря на националните определения, процедурите могат да им позволят лесно да докажат, че структурата им отговаря на критериите.</w:t>
      </w:r>
    </w:p>
    <w:p w:rsidR="007906A8"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Създаването на единен национален регистър на ЦИК и РЕЦ в България е решаваща стъпка към интегриране на децентрализираното производство на енергия, насърчаване на устойчивото енергийно развитие и осигуряване на прозрачност в сектора.</w:t>
      </w:r>
    </w:p>
    <w:p w:rsidR="00DD03BF" w:rsidRPr="00DD03BF" w:rsidRDefault="00DD03BF" w:rsidP="00DD03BF">
      <w:pPr>
        <w:spacing w:line="276" w:lineRule="auto"/>
        <w:jc w:val="both"/>
        <w:rPr>
          <w:rFonts w:ascii="Times New Roman" w:hAnsi="Times New Roman" w:cs="Times New Roman"/>
          <w:sz w:val="24"/>
          <w:szCs w:val="24"/>
          <w:lang w:val="bg"/>
        </w:rPr>
      </w:pPr>
    </w:p>
    <w:p w:rsidR="00DD03BF" w:rsidRDefault="00DD03BF" w:rsidP="00DD03BF">
      <w:pPr>
        <w:pStyle w:val="Heading3"/>
        <w:rPr>
          <w:rFonts w:ascii="Times New Roman" w:hAnsi="Times New Roman" w:cs="Times New Roman"/>
          <w:color w:val="24B1C0"/>
          <w:sz w:val="28"/>
          <w:szCs w:val="28"/>
        </w:rPr>
      </w:pPr>
      <w:bookmarkStart w:id="260" w:name="bookmark387"/>
      <w:bookmarkStart w:id="261" w:name="bookmark386"/>
      <w:bookmarkStart w:id="262" w:name="_Toc203141307"/>
      <w:r>
        <w:rPr>
          <w:rFonts w:ascii="Times New Roman" w:hAnsi="Times New Roman" w:cs="Times New Roman"/>
          <w:color w:val="24B1C0"/>
          <w:sz w:val="28"/>
          <w:szCs w:val="28"/>
          <w:lang w:val="bg"/>
        </w:rPr>
        <w:t xml:space="preserve">5.3.3 </w:t>
      </w:r>
      <w:r w:rsidR="007906A8" w:rsidRPr="00DD03BF">
        <w:rPr>
          <w:rFonts w:ascii="Times New Roman" w:hAnsi="Times New Roman" w:cs="Times New Roman"/>
          <w:color w:val="24B1C0"/>
          <w:sz w:val="28"/>
          <w:szCs w:val="28"/>
          <w:lang w:val="bg"/>
        </w:rPr>
        <w:t xml:space="preserve">Ролята на АУЕР в администрирането на регистъра на </w:t>
      </w:r>
      <w:bookmarkEnd w:id="260"/>
      <w:bookmarkEnd w:id="261"/>
      <w:r w:rsidR="007906A8" w:rsidRPr="00DD03BF">
        <w:rPr>
          <w:rFonts w:ascii="Times New Roman" w:hAnsi="Times New Roman" w:cs="Times New Roman"/>
          <w:color w:val="24B1C0"/>
          <w:sz w:val="28"/>
          <w:szCs w:val="28"/>
        </w:rPr>
        <w:t>CEC</w:t>
      </w:r>
      <w:r w:rsidR="007906A8" w:rsidRPr="00DD03BF">
        <w:rPr>
          <w:rFonts w:ascii="Times New Roman" w:hAnsi="Times New Roman" w:cs="Times New Roman"/>
          <w:color w:val="24B1C0"/>
          <w:sz w:val="28"/>
          <w:szCs w:val="28"/>
          <w:lang w:val="bg"/>
        </w:rPr>
        <w:t xml:space="preserve"> и </w:t>
      </w:r>
      <w:r w:rsidR="007906A8" w:rsidRPr="00DD03BF">
        <w:rPr>
          <w:rFonts w:ascii="Times New Roman" w:hAnsi="Times New Roman" w:cs="Times New Roman"/>
          <w:color w:val="24B1C0"/>
          <w:sz w:val="28"/>
          <w:szCs w:val="28"/>
        </w:rPr>
        <w:t>REC</w:t>
      </w:r>
      <w:bookmarkEnd w:id="262"/>
    </w:p>
    <w:p w:rsidR="00DD03BF" w:rsidRPr="00DD03BF" w:rsidRDefault="00DD03BF" w:rsidP="00DD03BF"/>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В таблица 3 са описани органите, които имат роля да създават и администрират регистри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в 6 различни държави — членки на ЕС. Във всички тези държави органите са правителствени субекти, а в 4 задълженията за администриране и поддържане на регистъра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xml:space="preserve"> се налагат на държавите регулаторни агенции за екологичен преход.</w:t>
      </w: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Горепосочените примери и опитът в създаването и поддържането на:</w:t>
      </w:r>
    </w:p>
    <w:p w:rsidR="00A735FC" w:rsidRDefault="007906A8" w:rsidP="00B01311">
      <w:pPr>
        <w:pStyle w:val="ListParagraph"/>
        <w:numPr>
          <w:ilvl w:val="0"/>
          <w:numId w:val="119"/>
        </w:num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Единен електронен регистър на гаранциите за произход, който се създава и поддържа от АУЕР</w:t>
      </w:r>
    </w:p>
    <w:p w:rsidR="00A735FC" w:rsidRDefault="007906A8" w:rsidP="00B01311">
      <w:pPr>
        <w:pStyle w:val="ListParagraph"/>
        <w:numPr>
          <w:ilvl w:val="0"/>
          <w:numId w:val="119"/>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Публичен регистър на лицата, които могат да извършват проучване на енергийната ефективност, сертифициране на сгради, оценка на съответствието на инвестиционни проекти и изготвяне на оценка на енергийните спестявания</w:t>
      </w:r>
    </w:p>
    <w:p w:rsidR="007906A8" w:rsidRPr="00A735FC" w:rsidRDefault="007906A8" w:rsidP="00B01311">
      <w:pPr>
        <w:pStyle w:val="ListParagraph"/>
        <w:numPr>
          <w:ilvl w:val="0"/>
          <w:numId w:val="119"/>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Публичен регистър на лицата, които могат да извършват проучване на промишлени системи и системи за външно изкуствено осветление и оценки на икономиите на енергия</w:t>
      </w:r>
      <w:r w:rsidR="00DD03BF" w:rsidRPr="00A735FC">
        <w:rPr>
          <w:rFonts w:ascii="Times New Roman" w:hAnsi="Times New Roman" w:cs="Times New Roman"/>
          <w:sz w:val="24"/>
          <w:szCs w:val="24"/>
          <w:lang w:val="bg"/>
        </w:rPr>
        <w:t xml:space="preserve"> </w:t>
      </w:r>
      <w:r w:rsidRPr="00A735FC">
        <w:rPr>
          <w:rFonts w:ascii="Times New Roman" w:hAnsi="Times New Roman" w:cs="Times New Roman"/>
          <w:sz w:val="24"/>
          <w:szCs w:val="24"/>
          <w:lang w:val="bg"/>
        </w:rPr>
        <w:t xml:space="preserve">от АУЕР са причината да се предложи АУЕР да бъде в добра позиция да създава, поддържа и администрира регистъра на </w:t>
      </w:r>
      <w:r w:rsidRPr="00A735FC">
        <w:rPr>
          <w:rFonts w:ascii="Times New Roman" w:hAnsi="Times New Roman" w:cs="Times New Roman"/>
          <w:sz w:val="24"/>
          <w:szCs w:val="24"/>
        </w:rPr>
        <w:t>CEC</w:t>
      </w:r>
      <w:r w:rsidRPr="00A735FC">
        <w:rPr>
          <w:rFonts w:ascii="Times New Roman" w:hAnsi="Times New Roman" w:cs="Times New Roman"/>
          <w:sz w:val="24"/>
          <w:szCs w:val="24"/>
          <w:lang w:val="bg"/>
        </w:rPr>
        <w:t xml:space="preserve"> и </w:t>
      </w:r>
      <w:r w:rsidRPr="00A735FC">
        <w:rPr>
          <w:rFonts w:ascii="Times New Roman" w:hAnsi="Times New Roman" w:cs="Times New Roman"/>
          <w:sz w:val="24"/>
          <w:szCs w:val="24"/>
        </w:rPr>
        <w:t>REC</w:t>
      </w:r>
      <w:r w:rsidRPr="00A735FC">
        <w:rPr>
          <w:rFonts w:ascii="Times New Roman" w:hAnsi="Times New Roman" w:cs="Times New Roman"/>
          <w:sz w:val="24"/>
          <w:szCs w:val="24"/>
          <w:lang w:val="bg"/>
        </w:rPr>
        <w:t xml:space="preserve"> поради експертния си опит в мониторинга на инициативи за устойчива енергия.</w:t>
      </w:r>
    </w:p>
    <w:p w:rsidR="007906A8" w:rsidRPr="00DD03BF" w:rsidRDefault="007906A8" w:rsidP="00DD03BF">
      <w:pPr>
        <w:spacing w:line="276" w:lineRule="auto"/>
        <w:jc w:val="both"/>
        <w:rPr>
          <w:rFonts w:ascii="Times New Roman" w:hAnsi="Times New Roman" w:cs="Times New Roman"/>
          <w:sz w:val="24"/>
          <w:szCs w:val="24"/>
          <w:lang w:val="bg"/>
        </w:rPr>
      </w:pPr>
      <w:r w:rsidRPr="00DD03BF">
        <w:rPr>
          <w:rFonts w:ascii="Times New Roman" w:hAnsi="Times New Roman" w:cs="Times New Roman"/>
          <w:sz w:val="24"/>
          <w:szCs w:val="24"/>
          <w:lang w:val="bg"/>
        </w:rPr>
        <w:t xml:space="preserve">Основните отговорности на АУЕР, свързани с регистъра на </w:t>
      </w:r>
      <w:r w:rsidRPr="00DD03BF">
        <w:rPr>
          <w:rFonts w:ascii="Times New Roman" w:hAnsi="Times New Roman" w:cs="Times New Roman"/>
          <w:sz w:val="24"/>
          <w:szCs w:val="24"/>
        </w:rPr>
        <w:t>CEC</w:t>
      </w:r>
      <w:r w:rsidRPr="00DD03BF">
        <w:rPr>
          <w:rFonts w:ascii="Times New Roman" w:hAnsi="Times New Roman" w:cs="Times New Roman"/>
          <w:sz w:val="24"/>
          <w:szCs w:val="24"/>
          <w:lang w:val="bg"/>
        </w:rPr>
        <w:t xml:space="preserve"> и </w:t>
      </w:r>
      <w:r w:rsidRPr="00DD03BF">
        <w:rPr>
          <w:rFonts w:ascii="Times New Roman" w:hAnsi="Times New Roman" w:cs="Times New Roman"/>
          <w:sz w:val="24"/>
          <w:szCs w:val="24"/>
        </w:rPr>
        <w:t>REC</w:t>
      </w:r>
      <w:r w:rsidRPr="00DD03BF">
        <w:rPr>
          <w:rFonts w:ascii="Times New Roman" w:hAnsi="Times New Roman" w:cs="Times New Roman"/>
          <w:sz w:val="24"/>
          <w:szCs w:val="24"/>
          <w:lang w:val="bg"/>
        </w:rPr>
        <w:t>, ще включват:</w:t>
      </w:r>
    </w:p>
    <w:p w:rsidR="00A735FC" w:rsidRDefault="007906A8" w:rsidP="00B01311">
      <w:pPr>
        <w:pStyle w:val="ListParagraph"/>
        <w:numPr>
          <w:ilvl w:val="0"/>
          <w:numId w:val="120"/>
        </w:numPr>
        <w:spacing w:line="276" w:lineRule="auto"/>
        <w:jc w:val="both"/>
        <w:rPr>
          <w:rFonts w:ascii="Times New Roman" w:hAnsi="Times New Roman" w:cs="Times New Roman"/>
          <w:sz w:val="24"/>
          <w:szCs w:val="24"/>
          <w:lang w:val="bg"/>
        </w:rPr>
      </w:pPr>
      <w:r w:rsidRPr="00AD64A0">
        <w:rPr>
          <w:rFonts w:ascii="Times New Roman" w:hAnsi="Times New Roman" w:cs="Times New Roman"/>
          <w:sz w:val="24"/>
          <w:szCs w:val="24"/>
          <w:lang w:val="bg"/>
        </w:rPr>
        <w:t>Поддръжка и администриране на регистъра — управление и актуализиране на базата данни, осигуряване на съответствие с нормативната уредба</w:t>
      </w:r>
      <w:r w:rsidR="00AD64A0">
        <w:rPr>
          <w:rFonts w:ascii="Times New Roman" w:hAnsi="Times New Roman" w:cs="Times New Roman"/>
          <w:sz w:val="24"/>
          <w:szCs w:val="24"/>
          <w:lang w:val="bg"/>
        </w:rPr>
        <w:t xml:space="preserve"> и обработване на регистрациите.</w:t>
      </w:r>
    </w:p>
    <w:p w:rsidR="00A735FC" w:rsidRDefault="007906A8" w:rsidP="00B01311">
      <w:pPr>
        <w:pStyle w:val="ListParagraph"/>
        <w:numPr>
          <w:ilvl w:val="0"/>
          <w:numId w:val="120"/>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Сертифициране на зелена енергия — издаване на сертификати за произход и гарантиране на спазването на стандартите за устойчивост.</w:t>
      </w:r>
    </w:p>
    <w:p w:rsidR="007906A8" w:rsidRPr="00A735FC" w:rsidRDefault="007906A8" w:rsidP="00B01311">
      <w:pPr>
        <w:pStyle w:val="ListParagraph"/>
        <w:numPr>
          <w:ilvl w:val="0"/>
          <w:numId w:val="120"/>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lastRenderedPageBreak/>
        <w:t>Мониторинг и съответствие — провеждане на редовни одити и оценки, за да се гарантира, че енергийните общности работят в рамките на регулаторната рамка.</w:t>
      </w:r>
    </w:p>
    <w:p w:rsidR="007906A8" w:rsidRDefault="007906A8" w:rsidP="00B01311">
      <w:pPr>
        <w:pStyle w:val="Heading3"/>
        <w:numPr>
          <w:ilvl w:val="2"/>
          <w:numId w:val="122"/>
        </w:numPr>
        <w:spacing w:line="276" w:lineRule="auto"/>
        <w:jc w:val="both"/>
        <w:rPr>
          <w:rFonts w:ascii="Times New Roman" w:hAnsi="Times New Roman" w:cs="Times New Roman"/>
          <w:color w:val="24B9C0"/>
          <w:sz w:val="28"/>
          <w:szCs w:val="28"/>
          <w:lang w:val="bg"/>
        </w:rPr>
      </w:pPr>
      <w:bookmarkStart w:id="263" w:name="bookmark390"/>
      <w:bookmarkStart w:id="264" w:name="bookmark389"/>
      <w:bookmarkStart w:id="265" w:name="_Toc203141308"/>
      <w:r w:rsidRPr="00AD64A0">
        <w:rPr>
          <w:rFonts w:ascii="Times New Roman" w:hAnsi="Times New Roman" w:cs="Times New Roman"/>
          <w:color w:val="24B9C0"/>
          <w:sz w:val="28"/>
          <w:szCs w:val="28"/>
          <w:lang w:val="bg"/>
        </w:rPr>
        <w:t>Процес на регистрация</w:t>
      </w:r>
      <w:bookmarkEnd w:id="263"/>
      <w:bookmarkEnd w:id="264"/>
      <w:bookmarkEnd w:id="265"/>
    </w:p>
    <w:p w:rsidR="00AD64A0" w:rsidRPr="00AD64A0" w:rsidRDefault="00AD64A0" w:rsidP="00AD64A0">
      <w:pPr>
        <w:pStyle w:val="ListParagraph"/>
        <w:rPr>
          <w:lang w:val="bg"/>
        </w:rPr>
      </w:pPr>
    </w:p>
    <w:p w:rsidR="00A735FC" w:rsidRPr="00A735FC" w:rsidRDefault="007906A8" w:rsidP="00B01311">
      <w:pPr>
        <w:pStyle w:val="ListParagraph"/>
        <w:numPr>
          <w:ilvl w:val="0"/>
          <w:numId w:val="121"/>
        </w:numPr>
        <w:spacing w:line="276" w:lineRule="auto"/>
        <w:jc w:val="both"/>
        <w:rPr>
          <w:rStyle w:val="Hyperlink"/>
          <w:rFonts w:ascii="Times New Roman" w:hAnsi="Times New Roman" w:cs="Times New Roman"/>
          <w:color w:val="auto"/>
          <w:sz w:val="24"/>
          <w:szCs w:val="24"/>
          <w:u w:val="none"/>
          <w:lang w:val="bg"/>
        </w:rPr>
      </w:pPr>
      <w:r w:rsidRPr="00AD64A0">
        <w:rPr>
          <w:rFonts w:ascii="Times New Roman" w:hAnsi="Times New Roman" w:cs="Times New Roman"/>
          <w:sz w:val="24"/>
          <w:szCs w:val="24"/>
          <w:lang w:val="bg"/>
        </w:rPr>
        <w:t>Информацията, описана в подглава</w:t>
      </w:r>
      <w:hyperlink w:anchor="bookmark380" w:tooltip="Current Document">
        <w:r w:rsidRPr="00AD64A0">
          <w:rPr>
            <w:rStyle w:val="Hyperlink"/>
            <w:rFonts w:ascii="Times New Roman" w:hAnsi="Times New Roman" w:cs="Times New Roman"/>
            <w:sz w:val="24"/>
            <w:szCs w:val="24"/>
            <w:lang w:val="bg"/>
          </w:rPr>
          <w:t xml:space="preserve"> 5.3.1, </w:t>
        </w:r>
      </w:hyperlink>
      <w:r w:rsidRPr="00AD64A0">
        <w:rPr>
          <w:rFonts w:ascii="Times New Roman" w:hAnsi="Times New Roman" w:cs="Times New Roman"/>
          <w:sz w:val="24"/>
          <w:szCs w:val="24"/>
          <w:lang w:val="bg"/>
        </w:rPr>
        <w:t>се подава в АУЕР чрез формуляра, обяснен в подглава</w:t>
      </w:r>
      <w:hyperlink w:anchor="bookmark419" w:tooltip="Current Document">
        <w:r w:rsidRPr="00AD64A0">
          <w:rPr>
            <w:rStyle w:val="Hyperlink"/>
            <w:rFonts w:ascii="Times New Roman" w:hAnsi="Times New Roman" w:cs="Times New Roman"/>
            <w:sz w:val="24"/>
            <w:szCs w:val="24"/>
            <w:lang w:val="bg"/>
          </w:rPr>
          <w:t xml:space="preserve"> 5.5.</w:t>
        </w:r>
      </w:hyperlink>
    </w:p>
    <w:p w:rsidR="00A735FC" w:rsidRDefault="007906A8" w:rsidP="00B01311">
      <w:pPr>
        <w:pStyle w:val="ListParagraph"/>
        <w:numPr>
          <w:ilvl w:val="0"/>
          <w:numId w:val="12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Преглед и проверка на спазването на правните изисквания.</w:t>
      </w:r>
    </w:p>
    <w:p w:rsidR="00A735FC" w:rsidRDefault="007906A8" w:rsidP="00B01311">
      <w:pPr>
        <w:pStyle w:val="ListParagraph"/>
        <w:numPr>
          <w:ilvl w:val="0"/>
          <w:numId w:val="12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Одобрение и издаване на удостоверение за регистрация.</w:t>
      </w:r>
    </w:p>
    <w:p w:rsidR="007906A8" w:rsidRPr="00A735FC" w:rsidRDefault="007906A8" w:rsidP="00B01311">
      <w:pPr>
        <w:pStyle w:val="ListParagraph"/>
        <w:numPr>
          <w:ilvl w:val="0"/>
          <w:numId w:val="12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Периодични актуализации и мониторинг на съответствието от страна на АУЕР.</w:t>
      </w:r>
    </w:p>
    <w:p w:rsidR="00215AA1" w:rsidRPr="00215AA1" w:rsidRDefault="00215AA1" w:rsidP="00215AA1">
      <w:pPr>
        <w:pStyle w:val="ListParagraph"/>
        <w:rPr>
          <w:rFonts w:ascii="Times New Roman" w:hAnsi="Times New Roman" w:cs="Times New Roman"/>
          <w:sz w:val="24"/>
          <w:szCs w:val="24"/>
          <w:lang w:val="bg"/>
        </w:rPr>
      </w:pPr>
    </w:p>
    <w:p w:rsidR="00215AA1" w:rsidRPr="00AD64A0" w:rsidRDefault="00215AA1" w:rsidP="00215AA1">
      <w:pPr>
        <w:pStyle w:val="ListParagraph"/>
        <w:spacing w:line="276" w:lineRule="auto"/>
        <w:jc w:val="both"/>
        <w:rPr>
          <w:rFonts w:ascii="Times New Roman" w:hAnsi="Times New Roman" w:cs="Times New Roman"/>
          <w:sz w:val="24"/>
          <w:szCs w:val="24"/>
          <w:lang w:val="bg"/>
        </w:rPr>
      </w:pPr>
    </w:p>
    <w:p w:rsidR="007906A8" w:rsidRPr="00215AA1" w:rsidRDefault="007906A8" w:rsidP="00B01311">
      <w:pPr>
        <w:pStyle w:val="Heading3"/>
        <w:numPr>
          <w:ilvl w:val="2"/>
          <w:numId w:val="122"/>
        </w:numPr>
        <w:spacing w:line="276" w:lineRule="auto"/>
        <w:jc w:val="both"/>
        <w:rPr>
          <w:rFonts w:ascii="Times New Roman" w:hAnsi="Times New Roman" w:cs="Times New Roman"/>
          <w:color w:val="24B1C0"/>
          <w:sz w:val="28"/>
          <w:szCs w:val="28"/>
          <w:lang w:val="bg"/>
        </w:rPr>
      </w:pPr>
      <w:bookmarkStart w:id="266" w:name="bookmark393"/>
      <w:bookmarkStart w:id="267" w:name="bookmark392"/>
      <w:bookmarkStart w:id="268" w:name="_Toc203141309"/>
      <w:r w:rsidRPr="00215AA1">
        <w:rPr>
          <w:rFonts w:ascii="Times New Roman" w:hAnsi="Times New Roman" w:cs="Times New Roman"/>
          <w:color w:val="24B1C0"/>
          <w:sz w:val="28"/>
          <w:szCs w:val="28"/>
          <w:lang w:val="bg"/>
        </w:rPr>
        <w:t>Съответствие и мониторинг</w:t>
      </w:r>
      <w:bookmarkEnd w:id="266"/>
      <w:bookmarkEnd w:id="267"/>
      <w:bookmarkEnd w:id="268"/>
    </w:p>
    <w:p w:rsidR="00AD64A0" w:rsidRPr="00AD64A0" w:rsidRDefault="00AD64A0" w:rsidP="00AD64A0">
      <w:pPr>
        <w:pStyle w:val="ListParagraph"/>
        <w:rPr>
          <w:lang w:val="bg"/>
        </w:rPr>
      </w:pPr>
    </w:p>
    <w:p w:rsidR="007906A8" w:rsidRPr="00AD64A0" w:rsidRDefault="007906A8" w:rsidP="00AD64A0">
      <w:pPr>
        <w:spacing w:line="276" w:lineRule="auto"/>
        <w:jc w:val="both"/>
        <w:rPr>
          <w:rFonts w:ascii="Times New Roman" w:hAnsi="Times New Roman" w:cs="Times New Roman"/>
          <w:sz w:val="24"/>
          <w:szCs w:val="24"/>
          <w:lang w:val="bg"/>
        </w:rPr>
      </w:pPr>
      <w:r w:rsidRPr="00AD64A0">
        <w:rPr>
          <w:rFonts w:ascii="Times New Roman" w:hAnsi="Times New Roman" w:cs="Times New Roman"/>
          <w:sz w:val="24"/>
          <w:szCs w:val="24"/>
          <w:lang w:val="bg"/>
        </w:rPr>
        <w:t>Регистрите също могат да бъдат създадени така, че да допринасят за ефективното наблюдение с течение на времето. Има няколко аспекта около енергийните общности, които трябва да бъдат наблюдавани на национално равнище. Първо, полезно е да се наблюдава развитието на енергийните общности във времето в цифрово изражение.</w:t>
      </w:r>
    </w:p>
    <w:p w:rsidR="007906A8" w:rsidRPr="00AD64A0" w:rsidRDefault="007906A8" w:rsidP="00AD64A0">
      <w:pPr>
        <w:spacing w:line="276" w:lineRule="auto"/>
        <w:jc w:val="both"/>
        <w:rPr>
          <w:rFonts w:ascii="Times New Roman" w:hAnsi="Times New Roman" w:cs="Times New Roman"/>
          <w:sz w:val="24"/>
          <w:szCs w:val="24"/>
          <w:lang w:val="bg"/>
        </w:rPr>
      </w:pPr>
      <w:r w:rsidRPr="00AD64A0">
        <w:rPr>
          <w:rFonts w:ascii="Times New Roman" w:hAnsi="Times New Roman" w:cs="Times New Roman"/>
          <w:sz w:val="24"/>
          <w:szCs w:val="24"/>
          <w:lang w:val="bg"/>
        </w:rPr>
        <w:t>Мониторингът може да помогне да се установи дали търговските цели или участници стават все по-разпространени в сектора. Наличието на такава информация може да спомогне за вземането на решения за прецизиране на критериите или стимулите и да гарантира, че подкрепата се получава от участници, които наистина се нуждаят от нея.</w:t>
      </w:r>
    </w:p>
    <w:p w:rsidR="007906A8" w:rsidRDefault="007906A8" w:rsidP="00AD64A0">
      <w:pPr>
        <w:spacing w:line="276" w:lineRule="auto"/>
        <w:jc w:val="both"/>
        <w:rPr>
          <w:rFonts w:ascii="Times New Roman" w:hAnsi="Times New Roman" w:cs="Times New Roman"/>
          <w:sz w:val="24"/>
          <w:szCs w:val="24"/>
          <w:lang w:val="bg"/>
        </w:rPr>
      </w:pPr>
      <w:r w:rsidRPr="00AD64A0">
        <w:rPr>
          <w:rFonts w:ascii="Times New Roman" w:hAnsi="Times New Roman" w:cs="Times New Roman"/>
          <w:sz w:val="24"/>
          <w:szCs w:val="24"/>
          <w:lang w:val="bg"/>
        </w:rPr>
        <w:t>Енергийните общности трябва да спазват националните разпоредби в областта на енергетиката и директивите на ЕС:</w:t>
      </w:r>
    </w:p>
    <w:p w:rsidR="00AD64A0" w:rsidRPr="00AD64A0" w:rsidRDefault="00AD64A0" w:rsidP="00AD64A0">
      <w:pPr>
        <w:spacing w:line="276" w:lineRule="auto"/>
        <w:jc w:val="both"/>
        <w:rPr>
          <w:rFonts w:ascii="Times New Roman" w:hAnsi="Times New Roman" w:cs="Times New Roman"/>
          <w:sz w:val="24"/>
          <w:szCs w:val="24"/>
          <w:lang w:val="bg"/>
        </w:rPr>
      </w:pPr>
    </w:p>
    <w:p w:rsidR="00AD64A0" w:rsidRPr="00215AA1" w:rsidRDefault="007906A8" w:rsidP="00B01311">
      <w:pPr>
        <w:pStyle w:val="ListParagraph"/>
        <w:numPr>
          <w:ilvl w:val="0"/>
          <w:numId w:val="124"/>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Изисквания за годишно докладване, за да се гарантира прозрачност и отчетност.</w:t>
      </w:r>
    </w:p>
    <w:p w:rsidR="007906A8" w:rsidRDefault="007906A8" w:rsidP="00B01311">
      <w:pPr>
        <w:pStyle w:val="ListParagraph"/>
        <w:numPr>
          <w:ilvl w:val="0"/>
          <w:numId w:val="123"/>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Потенциални санкции за неспазване, включително дерегистрация.</w:t>
      </w:r>
    </w:p>
    <w:p w:rsidR="00F015E5" w:rsidRDefault="00F015E5" w:rsidP="00F015E5">
      <w:pPr>
        <w:spacing w:line="276" w:lineRule="auto"/>
        <w:jc w:val="both"/>
        <w:rPr>
          <w:rFonts w:ascii="Times New Roman" w:hAnsi="Times New Roman" w:cs="Times New Roman"/>
          <w:sz w:val="24"/>
          <w:szCs w:val="24"/>
          <w:lang w:val="bg"/>
        </w:rPr>
      </w:pPr>
    </w:p>
    <w:p w:rsidR="00F015E5" w:rsidRPr="00F015E5" w:rsidRDefault="00F015E5" w:rsidP="00F015E5">
      <w:pPr>
        <w:spacing w:line="276" w:lineRule="auto"/>
        <w:jc w:val="both"/>
        <w:rPr>
          <w:rFonts w:ascii="Times New Roman" w:hAnsi="Times New Roman" w:cs="Times New Roman"/>
          <w:sz w:val="24"/>
          <w:szCs w:val="24"/>
          <w:lang w:val="bg"/>
        </w:rPr>
      </w:pPr>
    </w:p>
    <w:p w:rsidR="00215AA1" w:rsidRPr="00215AA1" w:rsidRDefault="00215AA1" w:rsidP="00215AA1">
      <w:pPr>
        <w:pStyle w:val="ListParagraph"/>
        <w:spacing w:line="276" w:lineRule="auto"/>
        <w:jc w:val="both"/>
        <w:rPr>
          <w:rFonts w:ascii="Times New Roman" w:hAnsi="Times New Roman" w:cs="Times New Roman"/>
          <w:sz w:val="24"/>
          <w:szCs w:val="24"/>
          <w:lang w:val="bg"/>
        </w:rPr>
      </w:pPr>
    </w:p>
    <w:p w:rsidR="007906A8" w:rsidRPr="00215AA1" w:rsidRDefault="007906A8" w:rsidP="00B01311">
      <w:pPr>
        <w:pStyle w:val="Heading3"/>
        <w:numPr>
          <w:ilvl w:val="2"/>
          <w:numId w:val="122"/>
        </w:numPr>
        <w:spacing w:line="276" w:lineRule="auto"/>
        <w:jc w:val="both"/>
        <w:rPr>
          <w:rFonts w:ascii="Times New Roman" w:hAnsi="Times New Roman" w:cs="Times New Roman"/>
          <w:color w:val="24B1C0"/>
          <w:sz w:val="28"/>
          <w:szCs w:val="28"/>
          <w:lang w:val="bg"/>
        </w:rPr>
      </w:pPr>
      <w:bookmarkStart w:id="269" w:name="bookmark396"/>
      <w:bookmarkStart w:id="270" w:name="bookmark395"/>
      <w:bookmarkStart w:id="271" w:name="_Toc203141310"/>
      <w:r w:rsidRPr="00215AA1">
        <w:rPr>
          <w:rFonts w:ascii="Times New Roman" w:hAnsi="Times New Roman" w:cs="Times New Roman"/>
          <w:color w:val="24B1C0"/>
          <w:sz w:val="28"/>
          <w:szCs w:val="28"/>
          <w:lang w:val="bg"/>
        </w:rPr>
        <w:t>Публичен достъп до избрана информация</w:t>
      </w:r>
      <w:bookmarkEnd w:id="269"/>
      <w:bookmarkEnd w:id="270"/>
      <w:bookmarkEnd w:id="271"/>
    </w:p>
    <w:p w:rsidR="00215AA1" w:rsidRPr="00215AA1" w:rsidRDefault="00215AA1" w:rsidP="00215AA1">
      <w:pPr>
        <w:pStyle w:val="ListParagraph"/>
        <w:rPr>
          <w:lang w:val="bg"/>
        </w:rPr>
      </w:pPr>
    </w:p>
    <w:p w:rsidR="007906A8" w:rsidRPr="00215AA1" w:rsidRDefault="007906A8" w:rsidP="00215AA1">
      <w:p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За да се гарантира прозрачност и да се насърчат инвестициите, всички данни, свързани с ЕО, могат да бъдат достъпни за нерегистрираните потребители, с изключение на тези, които се отнасят до лична информация за вътрешен контакт с членовете, и тези, които не искат да разкриват на обществеността или се използват за класификацията на ЕО. Наличието на публично достъпни данни подпомага процеса на намиране на ЕО в регистъра, както и свързването с нейния представител. Освен тази информация може да се добави:</w:t>
      </w:r>
    </w:p>
    <w:p w:rsidR="00215AA1" w:rsidRDefault="007906A8" w:rsidP="00B01311">
      <w:pPr>
        <w:pStyle w:val="ListParagraph"/>
        <w:numPr>
          <w:ilvl w:val="0"/>
          <w:numId w:val="123"/>
        </w:numPr>
        <w:spacing w:line="276" w:lineRule="auto"/>
        <w:jc w:val="both"/>
        <w:rPr>
          <w:rFonts w:ascii="Times New Roman" w:hAnsi="Times New Roman" w:cs="Times New Roman"/>
          <w:sz w:val="24"/>
          <w:szCs w:val="24"/>
          <w:lang w:val="bg"/>
        </w:rPr>
      </w:pPr>
      <w:r w:rsidRPr="00215AA1">
        <w:rPr>
          <w:rFonts w:ascii="Times New Roman" w:hAnsi="Times New Roman" w:cs="Times New Roman"/>
          <w:b/>
          <w:bCs/>
          <w:sz w:val="24"/>
          <w:szCs w:val="24"/>
          <w:lang w:val="bg"/>
        </w:rPr>
        <w:lastRenderedPageBreak/>
        <w:t xml:space="preserve">База данни с възможност за търсене </w:t>
      </w:r>
      <w:r w:rsidRPr="00215AA1">
        <w:rPr>
          <w:rFonts w:ascii="Times New Roman" w:hAnsi="Times New Roman" w:cs="Times New Roman"/>
          <w:sz w:val="24"/>
          <w:szCs w:val="24"/>
          <w:lang w:val="bg"/>
        </w:rPr>
        <w:t>— потребителите могат да филтрират резултатите по региони, видове енергийни източници и капацитет.</w:t>
      </w:r>
    </w:p>
    <w:p w:rsidR="007906A8" w:rsidRDefault="007906A8" w:rsidP="00B01311">
      <w:pPr>
        <w:pStyle w:val="ListParagraph"/>
        <w:numPr>
          <w:ilvl w:val="0"/>
          <w:numId w:val="123"/>
        </w:numPr>
        <w:spacing w:line="276" w:lineRule="auto"/>
        <w:jc w:val="both"/>
        <w:rPr>
          <w:rFonts w:ascii="Times New Roman" w:hAnsi="Times New Roman" w:cs="Times New Roman"/>
          <w:sz w:val="24"/>
          <w:szCs w:val="24"/>
          <w:lang w:val="bg"/>
        </w:rPr>
      </w:pPr>
      <w:r w:rsidRPr="00215AA1">
        <w:rPr>
          <w:rFonts w:ascii="Times New Roman" w:hAnsi="Times New Roman" w:cs="Times New Roman"/>
          <w:b/>
          <w:bCs/>
          <w:sz w:val="24"/>
          <w:szCs w:val="24"/>
          <w:lang w:val="bg"/>
        </w:rPr>
        <w:t xml:space="preserve">Информация за финансиране и подкрепа </w:t>
      </w:r>
      <w:r w:rsidRPr="00215AA1">
        <w:rPr>
          <w:rFonts w:ascii="Times New Roman" w:hAnsi="Times New Roman" w:cs="Times New Roman"/>
          <w:sz w:val="24"/>
          <w:szCs w:val="24"/>
          <w:lang w:val="bg"/>
        </w:rPr>
        <w:t>— енергийните общности ще имат достъп до информация за наличните субсидии, механизми за финансиране и правителствени или европейски програми за насърчаване на енергията от възобновяеми източници.</w:t>
      </w:r>
    </w:p>
    <w:p w:rsidR="00FA7995" w:rsidRPr="00215AA1" w:rsidRDefault="00FA7995" w:rsidP="00FA7995">
      <w:pPr>
        <w:pStyle w:val="ListParagraph"/>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22"/>
        </w:numPr>
        <w:spacing w:line="276" w:lineRule="auto"/>
        <w:jc w:val="both"/>
        <w:rPr>
          <w:rFonts w:ascii="Times New Roman" w:hAnsi="Times New Roman" w:cs="Times New Roman"/>
          <w:color w:val="24B1C0"/>
          <w:sz w:val="28"/>
          <w:szCs w:val="28"/>
          <w:lang w:val="bg"/>
        </w:rPr>
      </w:pPr>
      <w:bookmarkStart w:id="272" w:name="bookmark399"/>
      <w:bookmarkStart w:id="273" w:name="bookmark398"/>
      <w:bookmarkStart w:id="274" w:name="_Toc203141311"/>
      <w:r w:rsidRPr="00215AA1">
        <w:rPr>
          <w:rFonts w:ascii="Times New Roman" w:hAnsi="Times New Roman" w:cs="Times New Roman"/>
          <w:color w:val="24B1C0"/>
          <w:sz w:val="28"/>
          <w:szCs w:val="28"/>
          <w:lang w:val="bg"/>
        </w:rPr>
        <w:t>Финансова устойчивост на регистъра</w:t>
      </w:r>
      <w:bookmarkEnd w:id="272"/>
      <w:bookmarkEnd w:id="273"/>
      <w:bookmarkEnd w:id="274"/>
    </w:p>
    <w:p w:rsidR="00215AA1" w:rsidRPr="00215AA1" w:rsidRDefault="00215AA1" w:rsidP="00215AA1">
      <w:pPr>
        <w:pStyle w:val="ListParagraph"/>
        <w:rPr>
          <w:lang w:val="bg"/>
        </w:rPr>
      </w:pPr>
    </w:p>
    <w:p w:rsidR="007906A8" w:rsidRPr="00215AA1" w:rsidRDefault="007906A8" w:rsidP="00215AA1">
      <w:p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За да се поддържа и актуализира регистърът, ще бъде внедрен модел, основан на такси. Прилагат се следните такси:</w:t>
      </w:r>
    </w:p>
    <w:p w:rsidR="00215AA1" w:rsidRPr="00215AA1" w:rsidRDefault="007906A8" w:rsidP="00B01311">
      <w:pPr>
        <w:pStyle w:val="ListParagraph"/>
        <w:numPr>
          <w:ilvl w:val="0"/>
          <w:numId w:val="125"/>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Такса за първоначална регистрация — еднократна такса за регистр</w:t>
      </w:r>
      <w:r w:rsidR="00215AA1">
        <w:rPr>
          <w:rFonts w:ascii="Times New Roman" w:hAnsi="Times New Roman" w:cs="Times New Roman"/>
          <w:sz w:val="24"/>
          <w:szCs w:val="24"/>
          <w:lang w:val="bg"/>
        </w:rPr>
        <w:t>ации на нови енергийни общности.</w:t>
      </w:r>
    </w:p>
    <w:p w:rsidR="00215AA1" w:rsidRDefault="007906A8" w:rsidP="00B01311">
      <w:pPr>
        <w:pStyle w:val="ListParagraph"/>
        <w:numPr>
          <w:ilvl w:val="0"/>
          <w:numId w:val="125"/>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Такси за промяна — Такси за актуализиране на регистрирана информация.</w:t>
      </w:r>
    </w:p>
    <w:p w:rsidR="007906A8" w:rsidRPr="00215AA1" w:rsidRDefault="007906A8" w:rsidP="00B01311">
      <w:pPr>
        <w:pStyle w:val="ListParagraph"/>
        <w:numPr>
          <w:ilvl w:val="0"/>
          <w:numId w:val="125"/>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Годишни такси за поддръжка — периодична такса за осигуряване на поддръжка на базата данни и непрекъснато подобряване.</w:t>
      </w:r>
    </w:p>
    <w:p w:rsidR="00215AA1" w:rsidRDefault="007906A8" w:rsidP="00215AA1">
      <w:p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Тези такси ще покрият оперативните разходи на регистъра и ще гарантират дългосрочна устойчивост.</w:t>
      </w:r>
    </w:p>
    <w:p w:rsidR="00215AA1" w:rsidRPr="00F877E9" w:rsidRDefault="00215AA1" w:rsidP="00F877E9">
      <w:pPr>
        <w:pStyle w:val="Heading2"/>
        <w:rPr>
          <w:rFonts w:ascii="Times New Roman" w:hAnsi="Times New Roman" w:cs="Times New Roman"/>
          <w:color w:val="24B9C0"/>
          <w:sz w:val="30"/>
          <w:szCs w:val="30"/>
          <w:lang w:val="bg"/>
        </w:rPr>
      </w:pPr>
    </w:p>
    <w:p w:rsidR="007906A8" w:rsidRPr="00F877E9" w:rsidRDefault="00F877E9" w:rsidP="00F877E9">
      <w:pPr>
        <w:pStyle w:val="Heading2"/>
        <w:rPr>
          <w:rFonts w:ascii="Times New Roman" w:hAnsi="Times New Roman" w:cs="Times New Roman"/>
          <w:color w:val="24B1C0"/>
          <w:sz w:val="30"/>
          <w:szCs w:val="30"/>
          <w:lang w:val="bg"/>
        </w:rPr>
      </w:pPr>
      <w:bookmarkStart w:id="275" w:name="bookmark402"/>
      <w:bookmarkStart w:id="276" w:name="bookmark401"/>
      <w:bookmarkStart w:id="277" w:name="_Toc203141312"/>
      <w:r w:rsidRPr="00F877E9">
        <w:rPr>
          <w:rFonts w:ascii="Times New Roman" w:hAnsi="Times New Roman" w:cs="Times New Roman"/>
          <w:color w:val="24B1C0"/>
          <w:sz w:val="30"/>
          <w:szCs w:val="30"/>
          <w:lang w:val="bg"/>
        </w:rPr>
        <w:t xml:space="preserve">5.4 </w:t>
      </w:r>
      <w:r w:rsidR="00BE3D24">
        <w:rPr>
          <w:rFonts w:ascii="Times New Roman" w:hAnsi="Times New Roman" w:cs="Times New Roman"/>
          <w:color w:val="24B1C0"/>
          <w:sz w:val="30"/>
          <w:szCs w:val="30"/>
          <w:lang w:val="bg"/>
        </w:rPr>
        <w:t xml:space="preserve"> </w:t>
      </w:r>
      <w:r w:rsidR="007906A8" w:rsidRPr="00F877E9">
        <w:rPr>
          <w:rFonts w:ascii="Times New Roman" w:hAnsi="Times New Roman" w:cs="Times New Roman"/>
          <w:color w:val="24B1C0"/>
          <w:sz w:val="30"/>
          <w:szCs w:val="30"/>
          <w:lang w:val="bg"/>
        </w:rPr>
        <w:t>Основни заинтересовани страни и отговорности</w:t>
      </w:r>
      <w:bookmarkEnd w:id="275"/>
      <w:bookmarkEnd w:id="276"/>
      <w:bookmarkEnd w:id="277"/>
    </w:p>
    <w:p w:rsidR="00215AA1" w:rsidRPr="00215AA1" w:rsidRDefault="00215AA1" w:rsidP="00215AA1">
      <w:pPr>
        <w:pStyle w:val="ListParagraph"/>
        <w:rPr>
          <w:lang w:val="bg"/>
        </w:rPr>
      </w:pPr>
    </w:p>
    <w:p w:rsidR="007906A8" w:rsidRDefault="007906A8" w:rsidP="00DF14F0">
      <w:pPr>
        <w:pStyle w:val="Heading3"/>
        <w:numPr>
          <w:ilvl w:val="2"/>
          <w:numId w:val="46"/>
        </w:numPr>
        <w:spacing w:line="276" w:lineRule="auto"/>
        <w:jc w:val="both"/>
        <w:rPr>
          <w:rFonts w:ascii="Times New Roman" w:hAnsi="Times New Roman" w:cs="Times New Roman"/>
          <w:color w:val="24B1C0"/>
          <w:sz w:val="28"/>
          <w:szCs w:val="28"/>
          <w:lang w:val="bg"/>
        </w:rPr>
      </w:pPr>
      <w:bookmarkStart w:id="278" w:name="bookmark405"/>
      <w:bookmarkStart w:id="279" w:name="bookmark404"/>
      <w:bookmarkStart w:id="280" w:name="_Toc203141313"/>
      <w:r w:rsidRPr="00215AA1">
        <w:rPr>
          <w:rFonts w:ascii="Times New Roman" w:hAnsi="Times New Roman" w:cs="Times New Roman"/>
          <w:color w:val="24B1C0"/>
          <w:sz w:val="28"/>
          <w:szCs w:val="28"/>
          <w:lang w:val="bg"/>
        </w:rPr>
        <w:t>Агенция за устойчиво енергийно развитие (АУЕР)</w:t>
      </w:r>
      <w:bookmarkEnd w:id="278"/>
      <w:bookmarkEnd w:id="279"/>
      <w:bookmarkEnd w:id="280"/>
    </w:p>
    <w:p w:rsidR="00215AA1" w:rsidRPr="00215AA1" w:rsidRDefault="00215AA1" w:rsidP="00215AA1">
      <w:pPr>
        <w:pStyle w:val="ListParagraph"/>
        <w:rPr>
          <w:lang w:val="bg"/>
        </w:rPr>
      </w:pPr>
    </w:p>
    <w:p w:rsid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Администрира, контролира и поддържа информацията в регистъра, описан в подглава . 5.3.1.</w:t>
      </w:r>
    </w:p>
    <w:p w:rsid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Осигурява и контролира спазването на чл. 18б и §56 от Допълнителните разпоредби на Закона за ВЕИ и на чл. 92б и §76 от Допълнителните разпоредби на Закона за енергетиката.</w:t>
      </w:r>
    </w:p>
    <w:p w:rsid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Предоставя насоки относно правната рамка и процеса на регистрация.</w:t>
      </w:r>
    </w:p>
    <w:p w:rsid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Проверява допустимостта на кандидатите и одобрява тяхната регистрация.</w:t>
      </w:r>
    </w:p>
    <w:p w:rsid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Публикува и актуализира информация за регистрираните енергийни общности. Наблюдава функционирането на енергийните общности и докладва на съответните органи.</w:t>
      </w:r>
    </w:p>
    <w:p w:rsidR="007906A8" w:rsidRPr="00215AA1" w:rsidRDefault="007906A8" w:rsidP="00B01311">
      <w:pPr>
        <w:pStyle w:val="ListParagraph"/>
        <w:numPr>
          <w:ilvl w:val="0"/>
          <w:numId w:val="126"/>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Играе решаваща роля в издаването на сертификати за произход (СО) (известни също като ГП) за общностите за енергия от възобновяеми източници.</w:t>
      </w:r>
    </w:p>
    <w:p w:rsidR="007906A8" w:rsidRPr="00215AA1" w:rsidRDefault="007906A8" w:rsidP="00215AA1">
      <w:p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Изготвяне на оценка на съществуващите пречки и потенциала за развитие на общностите за енергия от възобновяеми източници.</w:t>
      </w:r>
    </w:p>
    <w:p w:rsidR="007906A8" w:rsidRDefault="007906A8" w:rsidP="00DF14F0">
      <w:pPr>
        <w:pStyle w:val="Heading3"/>
        <w:numPr>
          <w:ilvl w:val="2"/>
          <w:numId w:val="46"/>
        </w:numPr>
        <w:spacing w:line="276" w:lineRule="auto"/>
        <w:jc w:val="both"/>
        <w:rPr>
          <w:rFonts w:ascii="Times New Roman" w:hAnsi="Times New Roman" w:cs="Times New Roman"/>
          <w:color w:val="24B1C0"/>
          <w:sz w:val="28"/>
          <w:szCs w:val="28"/>
          <w:lang w:val="bg"/>
        </w:rPr>
      </w:pPr>
      <w:bookmarkStart w:id="281" w:name="bookmark408"/>
      <w:bookmarkStart w:id="282" w:name="bookmark407"/>
      <w:bookmarkStart w:id="283" w:name="_Toc203141314"/>
      <w:r w:rsidRPr="00215AA1">
        <w:rPr>
          <w:rFonts w:ascii="Times New Roman" w:hAnsi="Times New Roman" w:cs="Times New Roman"/>
          <w:color w:val="24B1C0"/>
          <w:sz w:val="28"/>
          <w:szCs w:val="28"/>
          <w:lang w:val="bg"/>
        </w:rPr>
        <w:t>Комисия за енергийно и водно регулиране (КЕВР)</w:t>
      </w:r>
      <w:bookmarkEnd w:id="281"/>
      <w:bookmarkEnd w:id="282"/>
      <w:bookmarkEnd w:id="283"/>
    </w:p>
    <w:p w:rsidR="00215AA1" w:rsidRPr="00215AA1" w:rsidRDefault="00215AA1" w:rsidP="00215AA1">
      <w:pPr>
        <w:pStyle w:val="ListParagraph"/>
        <w:rPr>
          <w:lang w:val="bg"/>
        </w:rPr>
      </w:pPr>
    </w:p>
    <w:p w:rsid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lastRenderedPageBreak/>
        <w:t>Определя ценообразуването на мрежовите услуги, свързани с използването на енергийната инфраструктура от енергийните общности.</w:t>
      </w:r>
    </w:p>
    <w:p w:rsid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Регулира достъпа до разпределителните мрежи и гарантира лоялна конкуренция.</w:t>
      </w:r>
    </w:p>
    <w:p w:rsid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Контролира спазването на разпоредбите за присъединяване към мрежата и мрежовите тарифи.</w:t>
      </w:r>
    </w:p>
    <w:p w:rsid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Издава регулаторни насоки и решения относно интеграцията на енергийните общности на енергийния пазар.</w:t>
      </w:r>
    </w:p>
    <w:p w:rsid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Въпроси на ОС към ЦИК за високоефективно комбинирано производство на топлинна и електрическа енергия</w:t>
      </w:r>
    </w:p>
    <w:p w:rsidR="007906A8" w:rsidRPr="00A735FC" w:rsidRDefault="007906A8" w:rsidP="00B01311">
      <w:pPr>
        <w:pStyle w:val="ListParagraph"/>
        <w:numPr>
          <w:ilvl w:val="0"/>
          <w:numId w:val="12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играят важна роля в създаването и прилагането на разпоредби и правила, свързани с интелигентното отчитане и VNM;</w:t>
      </w:r>
    </w:p>
    <w:p w:rsidR="00215AA1" w:rsidRPr="00215AA1" w:rsidRDefault="00215AA1" w:rsidP="00215AA1">
      <w:pPr>
        <w:pStyle w:val="ListParagraph"/>
        <w:rPr>
          <w:rFonts w:ascii="Times New Roman" w:hAnsi="Times New Roman" w:cs="Times New Roman"/>
          <w:sz w:val="24"/>
          <w:szCs w:val="24"/>
          <w:lang w:val="bg"/>
        </w:rPr>
      </w:pPr>
    </w:p>
    <w:p w:rsidR="00215AA1" w:rsidRPr="00215AA1" w:rsidRDefault="00215AA1" w:rsidP="00215AA1">
      <w:pPr>
        <w:pStyle w:val="ListParagraph"/>
        <w:spacing w:line="276" w:lineRule="auto"/>
        <w:jc w:val="both"/>
        <w:rPr>
          <w:rFonts w:ascii="Times New Roman" w:hAnsi="Times New Roman" w:cs="Times New Roman"/>
          <w:sz w:val="24"/>
          <w:szCs w:val="24"/>
          <w:lang w:val="bg"/>
        </w:rPr>
      </w:pPr>
    </w:p>
    <w:p w:rsidR="007906A8" w:rsidRDefault="007906A8" w:rsidP="00DF14F0">
      <w:pPr>
        <w:pStyle w:val="Heading3"/>
        <w:numPr>
          <w:ilvl w:val="2"/>
          <w:numId w:val="46"/>
        </w:numPr>
        <w:spacing w:line="276" w:lineRule="auto"/>
        <w:jc w:val="both"/>
        <w:rPr>
          <w:rFonts w:ascii="Times New Roman" w:hAnsi="Times New Roman" w:cs="Times New Roman"/>
          <w:color w:val="24B1C0"/>
          <w:sz w:val="28"/>
          <w:szCs w:val="28"/>
          <w:lang w:val="bg"/>
        </w:rPr>
      </w:pPr>
      <w:bookmarkStart w:id="284" w:name="bookmark411"/>
      <w:bookmarkStart w:id="285" w:name="bookmark410"/>
      <w:bookmarkStart w:id="286" w:name="_Toc203141315"/>
      <w:r w:rsidRPr="00215AA1">
        <w:rPr>
          <w:rFonts w:ascii="Times New Roman" w:hAnsi="Times New Roman" w:cs="Times New Roman"/>
          <w:color w:val="24B1C0"/>
          <w:sz w:val="28"/>
          <w:szCs w:val="28"/>
          <w:lang w:val="bg"/>
        </w:rPr>
        <w:t>Министерство на енергетиката</w:t>
      </w:r>
      <w:bookmarkEnd w:id="284"/>
      <w:bookmarkEnd w:id="285"/>
      <w:bookmarkEnd w:id="286"/>
    </w:p>
    <w:p w:rsidR="00215AA1" w:rsidRPr="00215AA1" w:rsidRDefault="00215AA1" w:rsidP="00215AA1">
      <w:pPr>
        <w:pStyle w:val="ListParagraph"/>
        <w:rPr>
          <w:lang w:val="bg"/>
        </w:rPr>
      </w:pP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Контролира изпълнението на функциите на Регистъра на енергийните общности и осъществява контрол върху дейността на АУЕР в рамките на законовите правомощия на министъра.</w:t>
      </w: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Осъществява контрол върху администрирането на Регистъра, за да гарантира съответствието му с националната енергийна политика.</w:t>
      </w: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Съгласно чл. 4 от Закона за енергетиката следва да разработва и наблюдава изпълнението на национална стратегия за развитие на енергийните общности в България.</w:t>
      </w: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Осигурява съответствие между националните политики и политиките на ЕС за насърчаване на децентрализираното производство на енергия.</w:t>
      </w: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Координира междуинституционалните усилия за улесняване на интеграцията на енергийните общности в националната енергийна система.</w:t>
      </w:r>
    </w:p>
    <w:p w:rsid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Информацията за стимулите се представя с доклади за напредъка и актуализирането на Интегрирания план в областта на енергетиката и климата на Република България в съответствие с Регламент (ЕС) 2018/1999.</w:t>
      </w:r>
    </w:p>
    <w:p w:rsidR="007906A8" w:rsidRPr="00A735FC" w:rsidRDefault="007906A8" w:rsidP="00B01311">
      <w:pPr>
        <w:pStyle w:val="ListParagraph"/>
        <w:numPr>
          <w:ilvl w:val="0"/>
          <w:numId w:val="128"/>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Наблюдава работата на регистъра и използването на информацията, интегрирана в неговата регистрационна система.</w:t>
      </w:r>
    </w:p>
    <w:p w:rsidR="007906A8" w:rsidRDefault="007906A8" w:rsidP="00DF14F0">
      <w:pPr>
        <w:pStyle w:val="Heading3"/>
        <w:numPr>
          <w:ilvl w:val="2"/>
          <w:numId w:val="46"/>
        </w:numPr>
        <w:spacing w:line="276" w:lineRule="auto"/>
        <w:jc w:val="both"/>
        <w:rPr>
          <w:rFonts w:ascii="Times New Roman" w:hAnsi="Times New Roman" w:cs="Times New Roman"/>
          <w:color w:val="24B1C0"/>
          <w:sz w:val="28"/>
          <w:szCs w:val="28"/>
          <w:lang w:val="bg"/>
        </w:rPr>
      </w:pPr>
      <w:bookmarkStart w:id="287" w:name="bookmark414"/>
      <w:bookmarkStart w:id="288" w:name="bookmark413"/>
      <w:bookmarkStart w:id="289" w:name="_Toc203141316"/>
      <w:r w:rsidRPr="00215AA1">
        <w:rPr>
          <w:rFonts w:ascii="Times New Roman" w:hAnsi="Times New Roman" w:cs="Times New Roman"/>
          <w:color w:val="24B1C0"/>
          <w:sz w:val="28"/>
          <w:szCs w:val="28"/>
          <w:lang w:val="bg-BG"/>
        </w:rPr>
        <w:t>ЕСО</w:t>
      </w:r>
      <w:r w:rsidRPr="00215AA1">
        <w:rPr>
          <w:rFonts w:ascii="Times New Roman" w:hAnsi="Times New Roman" w:cs="Times New Roman"/>
          <w:color w:val="24B1C0"/>
          <w:sz w:val="28"/>
          <w:szCs w:val="28"/>
          <w:lang w:val="bg"/>
        </w:rPr>
        <w:t xml:space="preserve"> и ОРС</w:t>
      </w:r>
      <w:bookmarkEnd w:id="287"/>
      <w:bookmarkEnd w:id="288"/>
      <w:bookmarkEnd w:id="289"/>
    </w:p>
    <w:p w:rsidR="00215AA1" w:rsidRPr="00215AA1" w:rsidRDefault="00215AA1" w:rsidP="00215AA1">
      <w:pPr>
        <w:pStyle w:val="ListParagraph"/>
        <w:rPr>
          <w:lang w:val="bg"/>
        </w:rPr>
      </w:pPr>
    </w:p>
    <w:p w:rsidR="007906A8" w:rsidRPr="00215AA1" w:rsidRDefault="007906A8" w:rsidP="00B01311">
      <w:pPr>
        <w:pStyle w:val="ListParagraph"/>
        <w:numPr>
          <w:ilvl w:val="0"/>
          <w:numId w:val="129"/>
        </w:numPr>
        <w:spacing w:line="276" w:lineRule="auto"/>
        <w:jc w:val="both"/>
        <w:rPr>
          <w:rFonts w:ascii="Times New Roman" w:hAnsi="Times New Roman" w:cs="Times New Roman"/>
          <w:sz w:val="24"/>
          <w:szCs w:val="24"/>
          <w:lang w:val="bg"/>
        </w:rPr>
      </w:pPr>
      <w:r w:rsidRPr="00215AA1">
        <w:rPr>
          <w:rFonts w:ascii="Times New Roman" w:hAnsi="Times New Roman" w:cs="Times New Roman"/>
          <w:sz w:val="24"/>
          <w:szCs w:val="24"/>
          <w:lang w:val="bg"/>
        </w:rPr>
        <w:t xml:space="preserve">Насърчаване на развитието на общности за енергия от възобновяеми източници чрез сътрудничество с </w:t>
      </w:r>
      <w:r w:rsidRPr="00215AA1">
        <w:rPr>
          <w:rFonts w:ascii="Times New Roman" w:hAnsi="Times New Roman" w:cs="Times New Roman"/>
          <w:sz w:val="24"/>
          <w:szCs w:val="24"/>
        </w:rPr>
        <w:t>CEC</w:t>
      </w:r>
      <w:r w:rsidRPr="00215AA1">
        <w:rPr>
          <w:rFonts w:ascii="Times New Roman" w:hAnsi="Times New Roman" w:cs="Times New Roman"/>
          <w:sz w:val="24"/>
          <w:szCs w:val="24"/>
          <w:lang w:val="bg"/>
        </w:rPr>
        <w:t xml:space="preserve"> и </w:t>
      </w:r>
      <w:r w:rsidRPr="00215AA1">
        <w:rPr>
          <w:rFonts w:ascii="Times New Roman" w:hAnsi="Times New Roman" w:cs="Times New Roman"/>
          <w:sz w:val="24"/>
          <w:szCs w:val="24"/>
        </w:rPr>
        <w:t>REC</w:t>
      </w:r>
      <w:r w:rsidRPr="00215AA1">
        <w:rPr>
          <w:rFonts w:ascii="Times New Roman" w:hAnsi="Times New Roman" w:cs="Times New Roman"/>
          <w:sz w:val="24"/>
          <w:szCs w:val="24"/>
          <w:lang w:val="bg"/>
        </w:rPr>
        <w:t xml:space="preserve"> за пренос и разпределение на енергия във и извън общността.</w:t>
      </w:r>
    </w:p>
    <w:p w:rsidR="007906A8" w:rsidRDefault="007906A8" w:rsidP="00DF14F0">
      <w:pPr>
        <w:pStyle w:val="Heading3"/>
        <w:numPr>
          <w:ilvl w:val="2"/>
          <w:numId w:val="46"/>
        </w:numPr>
        <w:spacing w:line="276" w:lineRule="auto"/>
        <w:jc w:val="both"/>
        <w:rPr>
          <w:rFonts w:ascii="Times New Roman" w:hAnsi="Times New Roman" w:cs="Times New Roman"/>
          <w:color w:val="24B1C0"/>
          <w:sz w:val="28"/>
          <w:szCs w:val="28"/>
          <w:lang w:val="bg"/>
        </w:rPr>
      </w:pPr>
      <w:bookmarkStart w:id="290" w:name="bookmark417"/>
      <w:bookmarkStart w:id="291" w:name="bookmark416"/>
      <w:bookmarkStart w:id="292" w:name="_Toc203141317"/>
      <w:r w:rsidRPr="00215AA1">
        <w:rPr>
          <w:rFonts w:ascii="Times New Roman" w:hAnsi="Times New Roman" w:cs="Times New Roman"/>
          <w:color w:val="24B1C0"/>
          <w:sz w:val="28"/>
          <w:szCs w:val="28"/>
          <w:lang w:val="bg"/>
        </w:rPr>
        <w:t>Енергийни общности</w:t>
      </w:r>
      <w:bookmarkEnd w:id="290"/>
      <w:bookmarkEnd w:id="291"/>
      <w:bookmarkEnd w:id="292"/>
    </w:p>
    <w:p w:rsidR="00215AA1" w:rsidRPr="00215AA1" w:rsidRDefault="00215AA1" w:rsidP="00215AA1">
      <w:pPr>
        <w:pStyle w:val="ListParagraph"/>
        <w:rPr>
          <w:lang w:val="bg"/>
        </w:rPr>
      </w:pP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Регистърът ще включва следните видове заинтересовани страни в енергийните общности (CECs и RECs):</w:t>
      </w:r>
      <w:r w:rsidRPr="00FA7995">
        <w:rPr>
          <w:rFonts w:ascii="Times New Roman" w:hAnsi="Times New Roman" w:cs="Times New Roman"/>
          <w:b/>
          <w:bCs/>
          <w:sz w:val="24"/>
          <w:szCs w:val="24"/>
          <w:lang w:val="bg"/>
        </w:rPr>
        <w:t>В зависимост от вида на юридическите лица:</w:t>
      </w:r>
    </w:p>
    <w:p w:rsidR="00A735FC" w:rsidRDefault="007906A8" w:rsidP="00B01311">
      <w:pPr>
        <w:pStyle w:val="ListParagraph"/>
        <w:numPr>
          <w:ilvl w:val="0"/>
          <w:numId w:val="129"/>
        </w:num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Търговски дружества</w:t>
      </w:r>
    </w:p>
    <w:p w:rsidR="00A735FC" w:rsidRDefault="00A735FC" w:rsidP="00B01311">
      <w:pPr>
        <w:pStyle w:val="ListParagraph"/>
        <w:numPr>
          <w:ilvl w:val="0"/>
          <w:numId w:val="129"/>
        </w:numPr>
        <w:spacing w:line="276" w:lineRule="auto"/>
        <w:jc w:val="both"/>
        <w:rPr>
          <w:rFonts w:ascii="Times New Roman" w:hAnsi="Times New Roman" w:cs="Times New Roman"/>
          <w:sz w:val="24"/>
          <w:szCs w:val="24"/>
          <w:lang w:val="bg"/>
        </w:rPr>
      </w:pPr>
      <w:r>
        <w:rPr>
          <w:rFonts w:ascii="Times New Roman" w:hAnsi="Times New Roman" w:cs="Times New Roman"/>
          <w:sz w:val="24"/>
          <w:szCs w:val="24"/>
          <w:lang w:val="bg"/>
        </w:rPr>
        <w:lastRenderedPageBreak/>
        <w:t>Коопераци</w:t>
      </w:r>
    </w:p>
    <w:p w:rsidR="00A735FC" w:rsidRDefault="007906A8" w:rsidP="00B01311">
      <w:pPr>
        <w:pStyle w:val="ListParagraph"/>
        <w:numPr>
          <w:ilvl w:val="0"/>
          <w:numId w:val="129"/>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Организации с нестопанска цел</w:t>
      </w:r>
    </w:p>
    <w:p w:rsidR="007906A8" w:rsidRPr="00A735FC" w:rsidRDefault="007906A8" w:rsidP="00B01311">
      <w:pPr>
        <w:pStyle w:val="ListParagraph"/>
        <w:numPr>
          <w:ilvl w:val="0"/>
          <w:numId w:val="129"/>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Граждански партньорства</w:t>
      </w:r>
    </w:p>
    <w:p w:rsidR="00FA7995" w:rsidRPr="00FA7995" w:rsidRDefault="00FA7995" w:rsidP="00FA7995">
      <w:pPr>
        <w:pStyle w:val="ListParagraph"/>
        <w:rPr>
          <w:rFonts w:ascii="Times New Roman" w:hAnsi="Times New Roman" w:cs="Times New Roman"/>
          <w:sz w:val="24"/>
          <w:szCs w:val="24"/>
          <w:lang w:val="bg"/>
        </w:rPr>
      </w:pPr>
    </w:p>
    <w:p w:rsidR="00FA7995" w:rsidRPr="00FA7995" w:rsidRDefault="00FA7995" w:rsidP="00FA7995">
      <w:pPr>
        <w:pStyle w:val="ListParagraph"/>
        <w:spacing w:line="276" w:lineRule="auto"/>
        <w:jc w:val="both"/>
        <w:rPr>
          <w:rFonts w:ascii="Times New Roman" w:hAnsi="Times New Roman" w:cs="Times New Roman"/>
          <w:sz w:val="24"/>
          <w:szCs w:val="24"/>
          <w:lang w:val="bg"/>
        </w:rPr>
      </w:pP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b/>
          <w:bCs/>
          <w:sz w:val="24"/>
          <w:szCs w:val="24"/>
          <w:lang w:val="bg"/>
        </w:rPr>
        <w:t xml:space="preserve">В зависимост от вида на членството в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 </w:t>
      </w:r>
      <w:r w:rsidRPr="00FA7995">
        <w:rPr>
          <w:rFonts w:ascii="Times New Roman" w:hAnsi="Times New Roman" w:cs="Times New Roman"/>
          <w:sz w:val="24"/>
          <w:szCs w:val="24"/>
        </w:rPr>
        <w:t>REC</w:t>
      </w:r>
      <w:r w:rsidRPr="00FA7995">
        <w:rPr>
          <w:rFonts w:ascii="Times New Roman" w:hAnsi="Times New Roman" w:cs="Times New Roman"/>
          <w:b/>
          <w:bCs/>
          <w:sz w:val="24"/>
          <w:szCs w:val="24"/>
          <w:lang w:val="bg"/>
        </w:rPr>
        <w:t>:</w:t>
      </w:r>
    </w:p>
    <w:p w:rsidR="00A735FC" w:rsidRDefault="007906A8" w:rsidP="00B01311">
      <w:pPr>
        <w:pStyle w:val="ListParagraph"/>
        <w:numPr>
          <w:ilvl w:val="0"/>
          <w:numId w:val="130"/>
        </w:num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Юридически лица с нестопанска цел, които насърчават използването на енергия от възобновяе</w:t>
      </w:r>
      <w:r w:rsidR="00FA7995">
        <w:rPr>
          <w:rFonts w:ascii="Times New Roman" w:hAnsi="Times New Roman" w:cs="Times New Roman"/>
          <w:sz w:val="24"/>
          <w:szCs w:val="24"/>
          <w:lang w:val="bg"/>
        </w:rPr>
        <w:t>ми източници.</w:t>
      </w:r>
    </w:p>
    <w:p w:rsidR="007906A8" w:rsidRPr="00A735FC" w:rsidRDefault="007906A8" w:rsidP="00B01311">
      <w:pPr>
        <w:pStyle w:val="ListParagraph"/>
        <w:numPr>
          <w:ilvl w:val="0"/>
          <w:numId w:val="130"/>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Физически лица, малки и средни предприятия и местни органи.</w:t>
      </w:r>
    </w:p>
    <w:p w:rsidR="00FA7995" w:rsidRPr="00FA7995" w:rsidRDefault="00FA7995" w:rsidP="00FA7995">
      <w:pPr>
        <w:pStyle w:val="ListParagraph"/>
        <w:rPr>
          <w:rFonts w:ascii="Times New Roman" w:hAnsi="Times New Roman" w:cs="Times New Roman"/>
          <w:sz w:val="24"/>
          <w:szCs w:val="24"/>
          <w:lang w:val="bg"/>
        </w:rPr>
      </w:pPr>
    </w:p>
    <w:p w:rsidR="00FA7995" w:rsidRPr="00FA7995" w:rsidRDefault="00FA7995" w:rsidP="00FA7995">
      <w:pPr>
        <w:pStyle w:val="ListParagraph"/>
        <w:spacing w:line="276" w:lineRule="auto"/>
        <w:jc w:val="both"/>
        <w:rPr>
          <w:rFonts w:ascii="Times New Roman" w:hAnsi="Times New Roman" w:cs="Times New Roman"/>
          <w:sz w:val="24"/>
          <w:szCs w:val="24"/>
          <w:lang w:val="bg"/>
        </w:rPr>
      </w:pP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b/>
          <w:bCs/>
          <w:sz w:val="24"/>
          <w:szCs w:val="24"/>
          <w:lang w:val="bg"/>
        </w:rPr>
        <w:t xml:space="preserve">Роли и отговорности на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 </w:t>
      </w:r>
      <w:r w:rsidRPr="00FA7995">
        <w:rPr>
          <w:rFonts w:ascii="Times New Roman" w:hAnsi="Times New Roman" w:cs="Times New Roman"/>
          <w:sz w:val="24"/>
          <w:szCs w:val="24"/>
        </w:rPr>
        <w:t>REC</w:t>
      </w:r>
      <w:r w:rsidRPr="00FA7995">
        <w:rPr>
          <w:rFonts w:ascii="Times New Roman" w:hAnsi="Times New Roman" w:cs="Times New Roman"/>
          <w:b/>
          <w:bCs/>
          <w:sz w:val="24"/>
          <w:szCs w:val="24"/>
          <w:lang w:val="bg"/>
        </w:rPr>
        <w:t>:</w:t>
      </w:r>
    </w:p>
    <w:p w:rsid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Улесняване на активното участие на г</w:t>
      </w:r>
      <w:r w:rsidR="00FA7995">
        <w:rPr>
          <w:rFonts w:ascii="Times New Roman" w:hAnsi="Times New Roman" w:cs="Times New Roman"/>
          <w:sz w:val="24"/>
          <w:szCs w:val="24"/>
          <w:lang w:val="bg"/>
        </w:rPr>
        <w:t>ражданите на енергийните пазари.</w:t>
      </w:r>
    </w:p>
    <w:p w:rsid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Извършва дейност в областта на производството, разпределението, доставката и</w:t>
      </w:r>
      <w:r w:rsidR="00A735FC">
        <w:rPr>
          <w:rFonts w:ascii="Times New Roman" w:hAnsi="Times New Roman" w:cs="Times New Roman"/>
          <w:sz w:val="24"/>
          <w:szCs w:val="24"/>
          <w:lang w:val="bg"/>
        </w:rPr>
        <w:t xml:space="preserve"> агрегирането на електроенергия</w:t>
      </w:r>
    </w:p>
    <w:p w:rsid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Засилване на енергийната демокрация и децентрализация на енергийната система.</w:t>
      </w:r>
    </w:p>
    <w:p w:rsid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Принос към енергийната самодостатъчност и местните икономически ползи.</w:t>
      </w:r>
    </w:p>
    <w:p w:rsid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Участие в производството, потреблението, съхранението и продажбата на енергия от възобновяеми източници.</w:t>
      </w:r>
    </w:p>
    <w:p w:rsidR="007906A8" w:rsidRPr="00A735FC" w:rsidRDefault="007906A8" w:rsidP="00B01311">
      <w:pPr>
        <w:pStyle w:val="ListParagraph"/>
        <w:numPr>
          <w:ilvl w:val="0"/>
          <w:numId w:val="131"/>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Притежава и експлоатира инсталации за възобновяема енергия (само в урбанизирана зона) и обекти, където неговите акционери, партньори или членове консумират произведената енергия.</w:t>
      </w:r>
    </w:p>
    <w:p w:rsidR="007906A8" w:rsidRPr="007906A8" w:rsidRDefault="007906A8" w:rsidP="00FA7995">
      <w:pPr>
        <w:jc w:val="center"/>
        <w:rPr>
          <w:lang w:val="bg"/>
        </w:rPr>
      </w:pPr>
      <w:r w:rsidRPr="007906A8">
        <w:rPr>
          <w:noProof/>
          <w:lang w:val="bg-BG" w:eastAsia="bg-BG"/>
        </w:rPr>
        <w:drawing>
          <wp:inline distT="0" distB="0" distL="0" distR="0" wp14:anchorId="780C7674" wp14:editId="11293302">
            <wp:extent cx="4955540" cy="3149600"/>
            <wp:effectExtent l="0" t="0" r="0" b="0"/>
            <wp:docPr id="198" name="Пикутър 198"/>
            <wp:cNvGraphicFramePr/>
            <a:graphic xmlns:a="http://schemas.openxmlformats.org/drawingml/2006/main">
              <a:graphicData uri="http://schemas.openxmlformats.org/drawingml/2006/picture">
                <pic:pic xmlns:pic="http://schemas.openxmlformats.org/drawingml/2006/picture">
                  <pic:nvPicPr>
                    <pic:cNvPr id="198" name="Снимка 198"/>
                    <pic:cNvPicPr/>
                  </pic:nvPicPr>
                  <pic:blipFill>
                    <a:blip r:embed="rId48"/>
                    <a:stretch/>
                  </pic:blipFill>
                  <pic:spPr>
                    <a:xfrm>
                      <a:off x="0" y="0"/>
                      <a:ext cx="4955540" cy="3149600"/>
                    </a:xfrm>
                    <a:prstGeom prst="rect">
                      <a:avLst/>
                    </a:prstGeom>
                    <a:ln>
                      <a:noFill/>
                    </a:ln>
                    <a:effectLst>
                      <a:softEdge rad="112500"/>
                    </a:effectLst>
                  </pic:spPr>
                </pic:pic>
              </a:graphicData>
            </a:graphic>
          </wp:inline>
        </w:drawing>
      </w:r>
      <w:bookmarkStart w:id="293" w:name="bookmark420"/>
      <w:bookmarkStart w:id="294" w:name="bookmark419"/>
    </w:p>
    <w:p w:rsidR="007906A8" w:rsidRPr="007906A8" w:rsidRDefault="007906A8" w:rsidP="007906A8">
      <w:pPr>
        <w:rPr>
          <w:lang w:val="bg"/>
        </w:rPr>
      </w:pPr>
    </w:p>
    <w:p w:rsidR="007906A8" w:rsidRPr="00A735FC" w:rsidRDefault="007906A8" w:rsidP="00A735FC">
      <w:pPr>
        <w:pStyle w:val="Heading2"/>
        <w:numPr>
          <w:ilvl w:val="1"/>
          <w:numId w:val="46"/>
        </w:numPr>
        <w:rPr>
          <w:rFonts w:ascii="Times New Roman" w:hAnsi="Times New Roman" w:cs="Times New Roman"/>
          <w:color w:val="24B1C0"/>
          <w:sz w:val="30"/>
          <w:szCs w:val="30"/>
          <w:lang w:val="bg"/>
        </w:rPr>
      </w:pPr>
      <w:bookmarkStart w:id="295" w:name="_Toc203141318"/>
      <w:r w:rsidRPr="00A735FC">
        <w:rPr>
          <w:rFonts w:ascii="Times New Roman" w:hAnsi="Times New Roman" w:cs="Times New Roman"/>
          <w:color w:val="24B1C0"/>
          <w:sz w:val="30"/>
          <w:szCs w:val="30"/>
          <w:lang w:val="bg"/>
        </w:rPr>
        <w:lastRenderedPageBreak/>
        <w:t>Оперативни насоки и технически спецификации за управление на данните, сигурност и оперативна съвместимост</w:t>
      </w:r>
      <w:bookmarkEnd w:id="293"/>
      <w:bookmarkEnd w:id="294"/>
      <w:bookmarkEnd w:id="295"/>
    </w:p>
    <w:p w:rsidR="00C14811" w:rsidRPr="00A735FC" w:rsidRDefault="00C14811" w:rsidP="00C14811">
      <w:pPr>
        <w:pStyle w:val="ListParagraph"/>
        <w:rPr>
          <w:rFonts w:ascii="Times New Roman" w:hAnsi="Times New Roman" w:cs="Times New Roman"/>
          <w:sz w:val="30"/>
          <w:szCs w:val="30"/>
          <w:lang w:val="bg"/>
        </w:rPr>
      </w:pP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Има два начина за подаване на първоначалната информация, описана в</w:t>
      </w:r>
      <w:hyperlink w:anchor="bookmark380" w:tooltip="Current Document">
        <w:r w:rsidRPr="00FA7995">
          <w:rPr>
            <w:rStyle w:val="Hyperlink"/>
            <w:rFonts w:ascii="Times New Roman" w:hAnsi="Times New Roman" w:cs="Times New Roman"/>
            <w:sz w:val="24"/>
            <w:szCs w:val="24"/>
            <w:lang w:val="bg"/>
          </w:rPr>
          <w:t xml:space="preserve"> точка 5.3.1:</w:t>
        </w:r>
      </w:hyperlink>
    </w:p>
    <w:p w:rsidR="007906A8" w:rsidRPr="00FA7995" w:rsidRDefault="007906A8" w:rsidP="00B01311">
      <w:pPr>
        <w:pStyle w:val="ListParagraph"/>
        <w:numPr>
          <w:ilvl w:val="0"/>
          <w:numId w:val="132"/>
        </w:numPr>
        <w:spacing w:line="276" w:lineRule="auto"/>
        <w:jc w:val="both"/>
        <w:rPr>
          <w:rFonts w:ascii="Times New Roman" w:hAnsi="Times New Roman" w:cs="Times New Roman"/>
          <w:sz w:val="24"/>
          <w:szCs w:val="24"/>
          <w:lang w:val="bg"/>
        </w:rPr>
      </w:pPr>
      <w:r w:rsidRPr="00FA7995">
        <w:rPr>
          <w:rFonts w:ascii="Times New Roman" w:hAnsi="Times New Roman" w:cs="Times New Roman"/>
          <w:b/>
          <w:bCs/>
          <w:sz w:val="24"/>
          <w:szCs w:val="24"/>
          <w:lang w:val="bg"/>
        </w:rPr>
        <w:t>Чрез електронен формуляр за кандидатстване, подаден по електронна поща и/или физически:</w:t>
      </w: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 xml:space="preserve">Попълването на всички необходими данни (полета) е необходимо условие, за да се кандидатства за регистрация на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w:t>
      </w:r>
      <w:r w:rsidRPr="00FA7995">
        <w:rPr>
          <w:rFonts w:ascii="Times New Roman" w:hAnsi="Times New Roman" w:cs="Times New Roman"/>
          <w:sz w:val="24"/>
          <w:szCs w:val="24"/>
          <w:lang w:val="bg-BG"/>
        </w:rPr>
        <w:t>ли</w:t>
      </w:r>
      <w:r w:rsidRPr="00FA7995">
        <w:rPr>
          <w:rFonts w:ascii="Times New Roman" w:hAnsi="Times New Roman" w:cs="Times New Roman"/>
          <w:sz w:val="24"/>
          <w:szCs w:val="24"/>
          <w:lang w:val="bg"/>
        </w:rPr>
        <w:t xml:space="preserve"> </w:t>
      </w:r>
      <w:r w:rsidRPr="00FA7995">
        <w:rPr>
          <w:rFonts w:ascii="Times New Roman" w:hAnsi="Times New Roman" w:cs="Times New Roman"/>
          <w:sz w:val="24"/>
          <w:szCs w:val="24"/>
        </w:rPr>
        <w:t>REC</w:t>
      </w:r>
      <w:r w:rsidRPr="00FA7995">
        <w:rPr>
          <w:rFonts w:ascii="Times New Roman" w:hAnsi="Times New Roman" w:cs="Times New Roman"/>
          <w:sz w:val="24"/>
          <w:szCs w:val="24"/>
          <w:lang w:val="bg"/>
        </w:rPr>
        <w:t xml:space="preserve">. Данните, изпратени чрез регистрационната форма, се получават на електронната поща на отговорния администратор/редактор на Регистъра, с копие до подателя. В същата форма се изисква добавяне на електронна поща и телефон за контакт на представителя на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w:t>
      </w:r>
      <w:r w:rsidRPr="00FA7995">
        <w:rPr>
          <w:rFonts w:ascii="Times New Roman" w:hAnsi="Times New Roman" w:cs="Times New Roman"/>
          <w:sz w:val="24"/>
          <w:szCs w:val="24"/>
          <w:lang w:val="bg-BG"/>
        </w:rPr>
        <w:t>ли</w:t>
      </w:r>
      <w:r w:rsidRPr="00FA7995">
        <w:rPr>
          <w:rFonts w:ascii="Times New Roman" w:hAnsi="Times New Roman" w:cs="Times New Roman"/>
          <w:sz w:val="24"/>
          <w:szCs w:val="24"/>
          <w:lang w:val="bg"/>
        </w:rPr>
        <w:t xml:space="preserve"> </w:t>
      </w:r>
      <w:r w:rsidRPr="00FA7995">
        <w:rPr>
          <w:rFonts w:ascii="Times New Roman" w:hAnsi="Times New Roman" w:cs="Times New Roman"/>
          <w:sz w:val="24"/>
          <w:szCs w:val="24"/>
        </w:rPr>
        <w:t>REC</w:t>
      </w:r>
      <w:r w:rsidRPr="00FA7995">
        <w:rPr>
          <w:rFonts w:ascii="Times New Roman" w:hAnsi="Times New Roman" w:cs="Times New Roman"/>
          <w:sz w:val="24"/>
          <w:szCs w:val="24"/>
          <w:lang w:val="bg"/>
        </w:rPr>
        <w:t>.</w:t>
      </w: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В регистъра трябва да се съхранява копие от всяко заявление за регистрация, за да се правят справки и да се изтеглят регистрациите в удобен файлов формат (XLS/CSV). Архивът на изпратените регистрации може да се съхранява за определен период от време. Във формуляра за заявление за CEC или REC трябва да има задължителни полета, които улесняват процеса на регистрация и дават възможност за свързване с регистранта.</w:t>
      </w:r>
    </w:p>
    <w:p w:rsidR="007906A8" w:rsidRPr="00CF3404" w:rsidRDefault="007906A8" w:rsidP="00B01311">
      <w:pPr>
        <w:pStyle w:val="ListParagraph"/>
        <w:numPr>
          <w:ilvl w:val="0"/>
          <w:numId w:val="132"/>
        </w:numPr>
        <w:spacing w:line="276" w:lineRule="auto"/>
        <w:jc w:val="both"/>
        <w:rPr>
          <w:rFonts w:ascii="Times New Roman" w:hAnsi="Times New Roman" w:cs="Times New Roman"/>
          <w:sz w:val="24"/>
          <w:szCs w:val="24"/>
          <w:lang w:val="bg"/>
        </w:rPr>
      </w:pPr>
      <w:r w:rsidRPr="00CF3404">
        <w:rPr>
          <w:rFonts w:ascii="Times New Roman" w:hAnsi="Times New Roman" w:cs="Times New Roman"/>
          <w:b/>
          <w:bCs/>
          <w:sz w:val="24"/>
          <w:szCs w:val="24"/>
          <w:lang w:val="bg"/>
        </w:rPr>
        <w:t>Чрез изпращане на онлайн регистрация на искане за CEC или REC:</w:t>
      </w: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 xml:space="preserve">За да се улесни процесът, се препоръчва искането за регистрация на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w:t>
      </w:r>
      <w:r w:rsidRPr="00FA7995">
        <w:rPr>
          <w:rFonts w:ascii="Times New Roman" w:hAnsi="Times New Roman" w:cs="Times New Roman"/>
          <w:sz w:val="24"/>
          <w:szCs w:val="24"/>
          <w:lang w:val="bg-BG"/>
        </w:rPr>
        <w:t>ли</w:t>
      </w:r>
      <w:r w:rsidRPr="00FA7995">
        <w:rPr>
          <w:rFonts w:ascii="Times New Roman" w:hAnsi="Times New Roman" w:cs="Times New Roman"/>
          <w:sz w:val="24"/>
          <w:szCs w:val="24"/>
          <w:lang w:val="bg"/>
        </w:rPr>
        <w:t xml:space="preserve"> </w:t>
      </w:r>
      <w:r w:rsidRPr="00FA7995">
        <w:rPr>
          <w:rFonts w:ascii="Times New Roman" w:hAnsi="Times New Roman" w:cs="Times New Roman"/>
          <w:sz w:val="24"/>
          <w:szCs w:val="24"/>
        </w:rPr>
        <w:t>REC</w:t>
      </w:r>
      <w:r w:rsidRPr="00FA7995">
        <w:rPr>
          <w:rFonts w:ascii="Times New Roman" w:hAnsi="Times New Roman" w:cs="Times New Roman"/>
          <w:sz w:val="24"/>
          <w:szCs w:val="24"/>
          <w:lang w:val="bg"/>
        </w:rPr>
        <w:t xml:space="preserve"> да бъде попълнено и изпратено онлайн. Това ще съкрати процеса и ще намали разходите, както и ще облекчи потребителите, които искат да регистрират своята енергийна общност в платформата, спестявайки им време и премахвайки необходимостта да ходят лично в офиси и общини.</w:t>
      </w:r>
    </w:p>
    <w:p w:rsidR="007906A8" w:rsidRPr="00FA7995" w:rsidRDefault="007906A8" w:rsidP="00FA7995">
      <w:pPr>
        <w:spacing w:line="276" w:lineRule="auto"/>
        <w:jc w:val="both"/>
        <w:rPr>
          <w:rFonts w:ascii="Times New Roman" w:hAnsi="Times New Roman" w:cs="Times New Roman"/>
          <w:sz w:val="24"/>
          <w:szCs w:val="24"/>
          <w:lang w:val="bg"/>
        </w:rPr>
      </w:pPr>
      <w:r w:rsidRPr="00FA7995">
        <w:rPr>
          <w:rFonts w:ascii="Times New Roman" w:hAnsi="Times New Roman" w:cs="Times New Roman"/>
          <w:sz w:val="24"/>
          <w:szCs w:val="24"/>
          <w:lang w:val="bg"/>
        </w:rPr>
        <w:t>Разбира се, АУЕР трябва да определи необходимите за попълване полета и необходимите документи в регистрационната форма. Логиката може да бъде приложена в полетата за регистрация и да бъде показана и изисквана въз основа на избора на потребителя. Това прави процеса интерактивен, бърз и в случай на липсваща или неточна информация представителят на юридическото лице се свързва с потребителя, отправил искането, за изясняване на въпроса.</w:t>
      </w:r>
    </w:p>
    <w:p w:rsidR="007906A8" w:rsidRDefault="007906A8" w:rsidP="00FA7995">
      <w:pPr>
        <w:spacing w:line="276" w:lineRule="auto"/>
        <w:jc w:val="both"/>
        <w:rPr>
          <w:lang w:val="bg"/>
        </w:rPr>
      </w:pPr>
      <w:r w:rsidRPr="00FA7995">
        <w:rPr>
          <w:rFonts w:ascii="Times New Roman" w:hAnsi="Times New Roman" w:cs="Times New Roman"/>
          <w:sz w:val="24"/>
          <w:szCs w:val="24"/>
          <w:lang w:val="bg"/>
        </w:rPr>
        <w:t xml:space="preserve">Наличието на онлайн формуляр за регистрация не е нещо уникално. Той се вижда на уебсайтовете на други регистри в Европа, като тези в Австрия и Испания. Френската енергийна общност също така дава възможност за създаване на потребителски профил. В този случай правният субект, отговарящ за регистъра, трябва да реши да предостави достъп на потребителя, за да може той да актуализира определена информация в публичния си профил в ЕК. Примери за онлайн формуляри за регистрация на </w:t>
      </w:r>
      <w:r w:rsidRPr="00FA7995">
        <w:rPr>
          <w:rFonts w:ascii="Times New Roman" w:hAnsi="Times New Roman" w:cs="Times New Roman"/>
          <w:sz w:val="24"/>
          <w:szCs w:val="24"/>
        </w:rPr>
        <w:t>CEC</w:t>
      </w:r>
      <w:r w:rsidRPr="00FA7995">
        <w:rPr>
          <w:rFonts w:ascii="Times New Roman" w:hAnsi="Times New Roman" w:cs="Times New Roman"/>
          <w:sz w:val="24"/>
          <w:szCs w:val="24"/>
          <w:lang w:val="bg"/>
        </w:rPr>
        <w:t xml:space="preserve"> и </w:t>
      </w:r>
      <w:r w:rsidRPr="00FA7995">
        <w:rPr>
          <w:rFonts w:ascii="Times New Roman" w:hAnsi="Times New Roman" w:cs="Times New Roman"/>
          <w:sz w:val="24"/>
          <w:szCs w:val="24"/>
        </w:rPr>
        <w:t>REC</w:t>
      </w:r>
      <w:r w:rsidRPr="00FA7995">
        <w:rPr>
          <w:rFonts w:ascii="Times New Roman" w:hAnsi="Times New Roman" w:cs="Times New Roman"/>
          <w:sz w:val="24"/>
          <w:szCs w:val="24"/>
          <w:lang w:val="bg"/>
        </w:rPr>
        <w:t xml:space="preserve"> могат да бъдат намерени на австрийската информационна платформа за енергийните общности</w:t>
      </w:r>
      <w:r w:rsidR="00FA7995">
        <w:rPr>
          <w:rFonts w:ascii="Times New Roman" w:hAnsi="Times New Roman" w:cs="Times New Roman"/>
          <w:sz w:val="24"/>
          <w:szCs w:val="24"/>
          <w:lang w:val="bg"/>
        </w:rPr>
        <w:t xml:space="preserve"> </w:t>
      </w:r>
      <w:r w:rsidR="00FA7995" w:rsidRPr="00F015E5">
        <w:rPr>
          <w:rFonts w:ascii="Times New Roman" w:hAnsi="Times New Roman" w:cs="Times New Roman"/>
          <w:sz w:val="24"/>
          <w:szCs w:val="24"/>
          <w:vertAlign w:val="superscript"/>
          <w:lang w:val="bg"/>
        </w:rPr>
        <w:footnoteReference w:id="71"/>
      </w:r>
      <w:r w:rsidRPr="00F015E5">
        <w:rPr>
          <w:rFonts w:ascii="Times New Roman" w:hAnsi="Times New Roman" w:cs="Times New Roman"/>
          <w:sz w:val="24"/>
          <w:szCs w:val="24"/>
          <w:vertAlign w:val="superscript"/>
          <w:lang w:val="bg"/>
        </w:rPr>
        <w:t>,</w:t>
      </w:r>
      <w:r w:rsidRPr="00FA7995">
        <w:rPr>
          <w:rFonts w:ascii="Times New Roman" w:hAnsi="Times New Roman" w:cs="Times New Roman"/>
          <w:sz w:val="24"/>
          <w:szCs w:val="24"/>
          <w:lang w:val="bg"/>
        </w:rPr>
        <w:t xml:space="preserve"> мрежата </w:t>
      </w:r>
      <w:r w:rsidRPr="00FA7995">
        <w:rPr>
          <w:rFonts w:ascii="Times New Roman" w:hAnsi="Times New Roman" w:cs="Times New Roman"/>
          <w:sz w:val="24"/>
          <w:szCs w:val="24"/>
          <w:lang w:val="bg"/>
        </w:rPr>
        <w:lastRenderedPageBreak/>
        <w:t xml:space="preserve">Cler във Франция </w:t>
      </w:r>
      <w:r w:rsidRPr="00F015E5">
        <w:rPr>
          <w:rFonts w:ascii="Times New Roman" w:hAnsi="Times New Roman" w:cs="Times New Roman"/>
          <w:sz w:val="24"/>
          <w:szCs w:val="24"/>
          <w:vertAlign w:val="superscript"/>
          <w:lang w:val="bg"/>
        </w:rPr>
        <w:footnoteReference w:id="72"/>
      </w:r>
      <w:r w:rsidRPr="00FA7995">
        <w:rPr>
          <w:rFonts w:ascii="Times New Roman" w:hAnsi="Times New Roman" w:cs="Times New Roman"/>
          <w:sz w:val="24"/>
          <w:szCs w:val="24"/>
          <w:lang w:val="bg"/>
        </w:rPr>
        <w:t xml:space="preserve"> </w:t>
      </w:r>
      <w:hyperlink w:anchor="bookmark79" w:tooltip="Current Document">
        <w:r w:rsidRPr="00F015E5">
          <w:rPr>
            <w:rStyle w:val="Hyperlink"/>
            <w:rFonts w:ascii="Times New Roman" w:hAnsi="Times New Roman" w:cs="Times New Roman"/>
            <w:sz w:val="24"/>
            <w:szCs w:val="24"/>
            <w:vertAlign w:val="superscript"/>
            <w:lang w:val="bg"/>
          </w:rPr>
          <w:footnoteReference w:id="73"/>
        </w:r>
      </w:hyperlink>
      <w:r w:rsidRPr="00FA7995">
        <w:rPr>
          <w:rFonts w:ascii="Times New Roman" w:hAnsi="Times New Roman" w:cs="Times New Roman"/>
          <w:sz w:val="24"/>
          <w:szCs w:val="24"/>
          <w:lang w:val="bg"/>
        </w:rPr>
        <w:t>, Energía Común</w:t>
      </w:r>
      <w:hyperlink w:anchor="bookmark80" w:tooltip="Current Document">
        <w:r w:rsidRPr="00F015E5">
          <w:rPr>
            <w:rStyle w:val="Hyperlink"/>
            <w:rFonts w:ascii="Times New Roman" w:hAnsi="Times New Roman" w:cs="Times New Roman"/>
            <w:sz w:val="24"/>
            <w:szCs w:val="24"/>
            <w:vertAlign w:val="superscript"/>
            <w:lang w:val="bg"/>
          </w:rPr>
          <w:footnoteReference w:id="74"/>
        </w:r>
      </w:hyperlink>
      <w:r w:rsidRPr="00FA7995">
        <w:rPr>
          <w:rFonts w:ascii="Times New Roman" w:hAnsi="Times New Roman" w:cs="Times New Roman"/>
          <w:sz w:val="24"/>
          <w:szCs w:val="24"/>
          <w:lang w:val="bg"/>
        </w:rPr>
        <w:t xml:space="preserve"> (Националната обсерватория на енергийните общности</w:t>
      </w:r>
      <w:r w:rsidRPr="007906A8">
        <w:rPr>
          <w:lang w:val="bg"/>
        </w:rPr>
        <w:t>)</w:t>
      </w:r>
    </w:p>
    <w:p w:rsidR="000E6421" w:rsidRPr="007906A8" w:rsidRDefault="000E6421" w:rsidP="00FA7995">
      <w:pPr>
        <w:spacing w:line="276" w:lineRule="auto"/>
        <w:jc w:val="both"/>
        <w:rPr>
          <w:lang w:val="bg"/>
        </w:rPr>
      </w:pPr>
    </w:p>
    <w:p w:rsidR="007906A8" w:rsidRDefault="007906A8" w:rsidP="000E6421">
      <w:pPr>
        <w:pStyle w:val="Heading3"/>
        <w:numPr>
          <w:ilvl w:val="2"/>
          <w:numId w:val="46"/>
        </w:numPr>
        <w:spacing w:line="276" w:lineRule="auto"/>
        <w:jc w:val="both"/>
        <w:rPr>
          <w:rFonts w:ascii="Times New Roman" w:hAnsi="Times New Roman" w:cs="Times New Roman"/>
          <w:color w:val="24B1C0"/>
          <w:sz w:val="28"/>
          <w:szCs w:val="28"/>
          <w:lang w:val="bg"/>
        </w:rPr>
      </w:pPr>
      <w:bookmarkStart w:id="299" w:name="bookmark423"/>
      <w:bookmarkStart w:id="300" w:name="bookmark422"/>
      <w:bookmarkStart w:id="301" w:name="_Toc203141319"/>
      <w:r w:rsidRPr="000E6421">
        <w:rPr>
          <w:rFonts w:ascii="Times New Roman" w:hAnsi="Times New Roman" w:cs="Times New Roman"/>
          <w:color w:val="24B1C0"/>
          <w:sz w:val="28"/>
          <w:szCs w:val="28"/>
          <w:lang w:val="bg"/>
        </w:rPr>
        <w:t>Достъпност на информацията в регистъра</w:t>
      </w:r>
      <w:bookmarkEnd w:id="299"/>
      <w:bookmarkEnd w:id="300"/>
      <w:bookmarkEnd w:id="301"/>
    </w:p>
    <w:p w:rsidR="000E6421" w:rsidRPr="000E6421" w:rsidRDefault="000E6421" w:rsidP="000E6421">
      <w:pPr>
        <w:pStyle w:val="ListParagraph"/>
        <w:rPr>
          <w:lang w:val="bg"/>
        </w:rPr>
      </w:pP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Всички данни, свързани с дадена енергийна общност, могат да бъдат достъпни за нерегистрираните потребители, с изключение на тези, които се отнасят до лична информация за вътрешен контакт с членовете, и тези, които не искат да бъдат разкривани на обществеността или се използват за класификацията на ЕК. Наличието на публично достъпни данни подпомага процеса на намиране на ЕО в регистъра, както и свързването с нейния представител. Пример за информация, достъпна за обществеността в онлайн регистър в Испания, може да бъде намерен на адрес Energía Común</w:t>
      </w:r>
      <w:hyperlink w:anchor="bookmark81" w:tooltip="Current Document">
        <w:r w:rsidRPr="00F015E5">
          <w:rPr>
            <w:rStyle w:val="Hyperlink"/>
            <w:rFonts w:ascii="Times New Roman" w:hAnsi="Times New Roman" w:cs="Times New Roman"/>
            <w:sz w:val="24"/>
            <w:szCs w:val="24"/>
            <w:vertAlign w:val="superscript"/>
            <w:lang w:val="bg"/>
          </w:rPr>
          <w:footnoteReference w:id="75"/>
        </w:r>
      </w:hyperlink>
      <w:r w:rsidRPr="00F015E5">
        <w:rPr>
          <w:rFonts w:ascii="Times New Roman" w:hAnsi="Times New Roman" w:cs="Times New Roman"/>
          <w:sz w:val="24"/>
          <w:szCs w:val="24"/>
          <w:vertAlign w:val="superscript"/>
          <w:lang w:val="bg"/>
        </w:rPr>
        <w:t>.</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Информацията за вътрешно ползване следва да бъде достъпна само от редактора и администратора на регистъра и да се счита за една, свързана само с разграничаване на вътрешния съюзник на члена, документи за справки, за първична регистрация в ЕК, месечно потребление на електроенергия и заявление за членство.</w:t>
      </w:r>
    </w:p>
    <w:p w:rsidR="007906A8" w:rsidRDefault="007906A8" w:rsidP="000E6421">
      <w:pPr>
        <w:pStyle w:val="Heading3"/>
        <w:numPr>
          <w:ilvl w:val="2"/>
          <w:numId w:val="46"/>
        </w:numPr>
        <w:spacing w:line="276" w:lineRule="auto"/>
        <w:jc w:val="both"/>
        <w:rPr>
          <w:rFonts w:ascii="Times New Roman" w:hAnsi="Times New Roman" w:cs="Times New Roman"/>
          <w:color w:val="24B1C0"/>
          <w:sz w:val="28"/>
          <w:szCs w:val="28"/>
        </w:rPr>
      </w:pPr>
      <w:bookmarkStart w:id="303" w:name="bookmark426"/>
      <w:bookmarkStart w:id="304" w:name="bookmark425"/>
      <w:bookmarkStart w:id="305" w:name="_Toc203141320"/>
      <w:r w:rsidRPr="000E6421">
        <w:rPr>
          <w:rFonts w:ascii="Times New Roman" w:hAnsi="Times New Roman" w:cs="Times New Roman"/>
          <w:color w:val="24B1C0"/>
          <w:sz w:val="28"/>
          <w:szCs w:val="28"/>
        </w:rPr>
        <w:t xml:space="preserve">Възможности за географска информация за </w:t>
      </w:r>
      <w:bookmarkEnd w:id="303"/>
      <w:bookmarkEnd w:id="304"/>
      <w:r w:rsidRPr="000E6421">
        <w:rPr>
          <w:rFonts w:ascii="Times New Roman" w:hAnsi="Times New Roman" w:cs="Times New Roman"/>
          <w:color w:val="24B1C0"/>
          <w:sz w:val="28"/>
          <w:szCs w:val="28"/>
        </w:rPr>
        <w:t>CEC и REC</w:t>
      </w:r>
      <w:bookmarkEnd w:id="305"/>
    </w:p>
    <w:p w:rsidR="000E6421" w:rsidRPr="000E6421" w:rsidRDefault="000E6421" w:rsidP="000E6421">
      <w:pPr>
        <w:pStyle w:val="ListParagraph"/>
      </w:pP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Наличието на интерактивна карта, показваща цялостния член на </w:t>
      </w:r>
      <w:r w:rsidRPr="00CF3404">
        <w:rPr>
          <w:rFonts w:ascii="Times New Roman" w:hAnsi="Times New Roman" w:cs="Times New Roman"/>
          <w:sz w:val="24"/>
          <w:szCs w:val="24"/>
        </w:rPr>
        <w:t>CEC</w:t>
      </w:r>
      <w:r w:rsidRPr="00CF3404">
        <w:rPr>
          <w:rFonts w:ascii="Times New Roman" w:hAnsi="Times New Roman" w:cs="Times New Roman"/>
          <w:sz w:val="24"/>
          <w:szCs w:val="24"/>
          <w:lang w:val="bg"/>
        </w:rPr>
        <w:t xml:space="preserve"> и</w:t>
      </w:r>
      <w:r w:rsidRPr="00CF3404">
        <w:rPr>
          <w:rFonts w:ascii="Times New Roman" w:hAnsi="Times New Roman" w:cs="Times New Roman"/>
          <w:sz w:val="24"/>
          <w:szCs w:val="24"/>
          <w:lang w:val="bg-BG"/>
        </w:rPr>
        <w:t>ли</w:t>
      </w:r>
      <w:r w:rsidRPr="00CF3404">
        <w:rPr>
          <w:rFonts w:ascii="Times New Roman" w:hAnsi="Times New Roman" w:cs="Times New Roman"/>
          <w:sz w:val="24"/>
          <w:szCs w:val="24"/>
          <w:lang w:val="bg"/>
        </w:rPr>
        <w:t xml:space="preserve"> </w:t>
      </w:r>
      <w:r w:rsidRPr="00CF3404">
        <w:rPr>
          <w:rFonts w:ascii="Times New Roman" w:hAnsi="Times New Roman" w:cs="Times New Roman"/>
          <w:sz w:val="24"/>
          <w:szCs w:val="24"/>
        </w:rPr>
        <w:t>REC</w:t>
      </w:r>
      <w:r w:rsidRPr="00CF3404">
        <w:rPr>
          <w:rFonts w:ascii="Times New Roman" w:hAnsi="Times New Roman" w:cs="Times New Roman"/>
          <w:sz w:val="24"/>
          <w:szCs w:val="24"/>
          <w:lang w:val="bg"/>
        </w:rPr>
        <w:t xml:space="preserve"> и даваща възможност за избор на такъв и мащабиране на района, ще помогне на членовете и потребителите да се ориентират в плътността на </w:t>
      </w:r>
      <w:r w:rsidRPr="00CF3404">
        <w:rPr>
          <w:rFonts w:ascii="Times New Roman" w:hAnsi="Times New Roman" w:cs="Times New Roman"/>
          <w:sz w:val="24"/>
          <w:szCs w:val="24"/>
        </w:rPr>
        <w:t>CEC</w:t>
      </w:r>
      <w:r w:rsidRPr="00CF3404">
        <w:rPr>
          <w:rFonts w:ascii="Times New Roman" w:hAnsi="Times New Roman" w:cs="Times New Roman"/>
          <w:sz w:val="24"/>
          <w:szCs w:val="24"/>
          <w:lang w:val="bg"/>
        </w:rPr>
        <w:t xml:space="preserve"> и</w:t>
      </w:r>
      <w:r w:rsidRPr="00CF3404">
        <w:rPr>
          <w:rFonts w:ascii="Times New Roman" w:hAnsi="Times New Roman" w:cs="Times New Roman"/>
          <w:sz w:val="24"/>
          <w:szCs w:val="24"/>
          <w:lang w:val="bg-BG"/>
        </w:rPr>
        <w:t>ли</w:t>
      </w:r>
      <w:r w:rsidRPr="00CF3404">
        <w:rPr>
          <w:rFonts w:ascii="Times New Roman" w:hAnsi="Times New Roman" w:cs="Times New Roman"/>
          <w:sz w:val="24"/>
          <w:szCs w:val="24"/>
          <w:lang w:val="bg"/>
        </w:rPr>
        <w:t xml:space="preserve"> </w:t>
      </w:r>
      <w:r w:rsidRPr="00CF3404">
        <w:rPr>
          <w:rFonts w:ascii="Times New Roman" w:hAnsi="Times New Roman" w:cs="Times New Roman"/>
          <w:sz w:val="24"/>
          <w:szCs w:val="24"/>
        </w:rPr>
        <w:t>REC</w:t>
      </w:r>
      <w:r w:rsidRPr="00CF3404">
        <w:rPr>
          <w:rFonts w:ascii="Times New Roman" w:hAnsi="Times New Roman" w:cs="Times New Roman"/>
          <w:sz w:val="24"/>
          <w:szCs w:val="24"/>
          <w:lang w:val="bg"/>
        </w:rPr>
        <w:t xml:space="preserve"> в едната ръка и в близостта в другата, като по този начин ще помогне на потребителя да намери </w:t>
      </w:r>
      <w:r w:rsidRPr="00CF3404">
        <w:rPr>
          <w:rFonts w:ascii="Times New Roman" w:hAnsi="Times New Roman" w:cs="Times New Roman"/>
          <w:sz w:val="24"/>
          <w:szCs w:val="24"/>
        </w:rPr>
        <w:t>CEC</w:t>
      </w:r>
      <w:r w:rsidRPr="00CF3404">
        <w:rPr>
          <w:rFonts w:ascii="Times New Roman" w:hAnsi="Times New Roman" w:cs="Times New Roman"/>
          <w:sz w:val="24"/>
          <w:szCs w:val="24"/>
          <w:lang w:val="bg"/>
        </w:rPr>
        <w:t xml:space="preserve"> и</w:t>
      </w:r>
      <w:r w:rsidRPr="00CF3404">
        <w:rPr>
          <w:rFonts w:ascii="Times New Roman" w:hAnsi="Times New Roman" w:cs="Times New Roman"/>
          <w:sz w:val="24"/>
          <w:szCs w:val="24"/>
          <w:lang w:val="bg-BG"/>
        </w:rPr>
        <w:t>ли</w:t>
      </w:r>
      <w:r w:rsidRPr="00CF3404">
        <w:rPr>
          <w:rFonts w:ascii="Times New Roman" w:hAnsi="Times New Roman" w:cs="Times New Roman"/>
          <w:sz w:val="24"/>
          <w:szCs w:val="24"/>
          <w:lang w:val="bg"/>
        </w:rPr>
        <w:t xml:space="preserve"> </w:t>
      </w:r>
      <w:r w:rsidRPr="00CF3404">
        <w:rPr>
          <w:rFonts w:ascii="Times New Roman" w:hAnsi="Times New Roman" w:cs="Times New Roman"/>
          <w:sz w:val="24"/>
          <w:szCs w:val="24"/>
        </w:rPr>
        <w:t>REC</w:t>
      </w:r>
      <w:r w:rsidRPr="00CF3404">
        <w:rPr>
          <w:rFonts w:ascii="Times New Roman" w:hAnsi="Times New Roman" w:cs="Times New Roman"/>
          <w:sz w:val="24"/>
          <w:szCs w:val="24"/>
          <w:lang w:val="bg"/>
        </w:rPr>
        <w:t xml:space="preserve"> в близкия район.</w:t>
      </w:r>
    </w:p>
    <w:p w:rsidR="007906A8"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При разглеждане на енергийна общност се показва картата, както и допълнителна информация, свързана с нея. Възможно е да се покажат повече </w:t>
      </w:r>
      <w:r w:rsidRPr="00CF3404">
        <w:rPr>
          <w:rFonts w:ascii="Times New Roman" w:hAnsi="Times New Roman" w:cs="Times New Roman"/>
          <w:sz w:val="24"/>
          <w:szCs w:val="24"/>
        </w:rPr>
        <w:t>CEC</w:t>
      </w:r>
      <w:r w:rsidRPr="00CF3404">
        <w:rPr>
          <w:rFonts w:ascii="Times New Roman" w:hAnsi="Times New Roman" w:cs="Times New Roman"/>
          <w:sz w:val="24"/>
          <w:szCs w:val="24"/>
          <w:lang w:val="bg"/>
        </w:rPr>
        <w:t xml:space="preserve"> и </w:t>
      </w:r>
      <w:r w:rsidRPr="00CF3404">
        <w:rPr>
          <w:rFonts w:ascii="Times New Roman" w:hAnsi="Times New Roman" w:cs="Times New Roman"/>
          <w:sz w:val="24"/>
          <w:szCs w:val="24"/>
        </w:rPr>
        <w:t>REC</w:t>
      </w:r>
      <w:r w:rsidRPr="00CF3404">
        <w:rPr>
          <w:rFonts w:ascii="Times New Roman" w:hAnsi="Times New Roman" w:cs="Times New Roman"/>
          <w:sz w:val="24"/>
          <w:szCs w:val="24"/>
          <w:lang w:val="bg"/>
        </w:rPr>
        <w:t xml:space="preserve"> от тази област/държава. ЕК ще бъде класифицирана като точен адрес (град, държава, за да бъде поставена на картата), както и регион според административното деление на България. Като помощна програма за геолокация предлагаме да използвате Google Maps, чиято информация се актуализира редовно и изглежда точна.</w:t>
      </w:r>
    </w:p>
    <w:p w:rsidR="000E6421" w:rsidRPr="00CF3404" w:rsidRDefault="000E6421" w:rsidP="000E6421">
      <w:pPr>
        <w:spacing w:line="276" w:lineRule="auto"/>
        <w:jc w:val="center"/>
        <w:rPr>
          <w:rFonts w:ascii="Times New Roman" w:hAnsi="Times New Roman" w:cs="Times New Roman"/>
          <w:sz w:val="24"/>
          <w:szCs w:val="24"/>
          <w:lang w:val="bg"/>
        </w:rPr>
      </w:pPr>
      <w:r>
        <w:rPr>
          <w:rFonts w:ascii="Times New Roman" w:hAnsi="Times New Roman" w:cs="Times New Roman"/>
          <w:noProof/>
          <w:sz w:val="24"/>
          <w:szCs w:val="24"/>
          <w:lang w:val="bg-BG" w:eastAsia="bg-BG"/>
        </w:rPr>
        <w:drawing>
          <wp:inline distT="0" distB="0" distL="0" distR="0" wp14:anchorId="452C18A5">
            <wp:extent cx="1238250" cy="1326894"/>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4493" cy="1333584"/>
                    </a:xfrm>
                    <a:prstGeom prst="rect">
                      <a:avLst/>
                    </a:prstGeom>
                    <a:noFill/>
                  </pic:spPr>
                </pic:pic>
              </a:graphicData>
            </a:graphic>
          </wp:inline>
        </w:drawing>
      </w:r>
    </w:p>
    <w:p w:rsidR="007906A8" w:rsidRPr="007906A8" w:rsidRDefault="007906A8" w:rsidP="00CF3404">
      <w:pPr>
        <w:jc w:val="center"/>
        <w:rPr>
          <w:lang w:val="bg"/>
        </w:rPr>
      </w:pPr>
    </w:p>
    <w:p w:rsidR="007906A8" w:rsidRPr="000E6421" w:rsidRDefault="007906A8" w:rsidP="00CF3404">
      <w:pPr>
        <w:spacing w:line="360" w:lineRule="auto"/>
        <w:jc w:val="both"/>
        <w:rPr>
          <w:rFonts w:ascii="Times New Roman" w:hAnsi="Times New Roman" w:cs="Times New Roman"/>
          <w:color w:val="24B1C0"/>
          <w:sz w:val="24"/>
          <w:szCs w:val="24"/>
          <w:lang w:val="bg"/>
        </w:rPr>
      </w:pPr>
      <w:bookmarkStart w:id="306" w:name="bookmark428"/>
      <w:r w:rsidRPr="000E6421">
        <w:rPr>
          <w:rFonts w:ascii="Times New Roman" w:hAnsi="Times New Roman" w:cs="Times New Roman"/>
          <w:color w:val="24B1C0"/>
          <w:sz w:val="24"/>
          <w:szCs w:val="24"/>
          <w:lang w:val="bg"/>
        </w:rPr>
        <w:lastRenderedPageBreak/>
        <w:t>Регистрация на домейн и използване на софтуер с отворен код</w:t>
      </w:r>
      <w:bookmarkEnd w:id="306"/>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Предлага се да се регистрира домейнът ec-hub.bg </w:t>
      </w:r>
      <w:hyperlink r:id="rId50" w:history="1">
        <w:r w:rsidRPr="00CF3404">
          <w:rPr>
            <w:rStyle w:val="Hyperlink"/>
            <w:rFonts w:ascii="Times New Roman" w:hAnsi="Times New Roman" w:cs="Times New Roman"/>
            <w:sz w:val="24"/>
            <w:szCs w:val="24"/>
            <w:lang w:val="bg"/>
          </w:rPr>
          <w:t>(ec-hub.org)</w:t>
        </w:r>
      </w:hyperlink>
      <w:r w:rsidRPr="00CF3404">
        <w:rPr>
          <w:rFonts w:ascii="Times New Roman" w:hAnsi="Times New Roman" w:cs="Times New Roman"/>
          <w:sz w:val="24"/>
          <w:szCs w:val="24"/>
          <w:lang w:val="bg"/>
        </w:rPr>
        <w:t xml:space="preserve"> или да се създаде поддомейн на субекта, който администрира РЕС, като ec-hub.nameofentity.bg в портала регистър/информационна система), да бъдат видими всички регистрирани до момента енергийни общности и да се въведе опция(и) за търсене съгласно тези критерии:</w:t>
      </w:r>
    </w:p>
    <w:p w:rsid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Местоположение (регион)</w:t>
      </w:r>
    </w:p>
    <w:p w:rsid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Наименование на ДЕХ</w:t>
      </w:r>
    </w:p>
    <w:p w:rsid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Вид на ЕК</w:t>
      </w:r>
    </w:p>
    <w:p w:rsid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Вид на инсталацията(ите)</w:t>
      </w:r>
    </w:p>
    <w:p w:rsid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Мощност или друга предварително определена опция</w:t>
      </w:r>
    </w:p>
    <w:p w:rsidR="007906A8" w:rsidRPr="00C14811" w:rsidRDefault="007906A8" w:rsidP="00B01311">
      <w:pPr>
        <w:pStyle w:val="ListParagraph"/>
        <w:numPr>
          <w:ilvl w:val="0"/>
          <w:numId w:val="186"/>
        </w:numPr>
        <w:spacing w:line="276" w:lineRule="auto"/>
        <w:jc w:val="both"/>
        <w:rPr>
          <w:rFonts w:ascii="Times New Roman" w:hAnsi="Times New Roman" w:cs="Times New Roman"/>
          <w:sz w:val="24"/>
          <w:szCs w:val="24"/>
          <w:lang w:val="bg"/>
        </w:rPr>
      </w:pPr>
      <w:r w:rsidRPr="00C14811">
        <w:rPr>
          <w:rFonts w:ascii="Times New Roman" w:hAnsi="Times New Roman" w:cs="Times New Roman"/>
          <w:sz w:val="24"/>
          <w:szCs w:val="24"/>
          <w:lang w:val="bg"/>
        </w:rPr>
        <w:t>Списък и интерактивен изглед на картата.</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Пример за това може да бъде намерен на австрийската информационна платформа за енергийните общности</w:t>
      </w:r>
      <w:r w:rsidRPr="00CF3404">
        <w:rPr>
          <w:rFonts w:ascii="Times New Roman" w:hAnsi="Times New Roman" w:cs="Times New Roman"/>
          <w:sz w:val="24"/>
          <w:szCs w:val="24"/>
          <w:lang w:val="bg-BG"/>
        </w:rPr>
        <w:t xml:space="preserve"> </w:t>
      </w:r>
      <w:hyperlink w:anchor="bookmark82" w:tooltip="Current Document">
        <w:r w:rsidRPr="00F015E5">
          <w:rPr>
            <w:rStyle w:val="Hyperlink"/>
            <w:rFonts w:ascii="Times New Roman" w:hAnsi="Times New Roman" w:cs="Times New Roman"/>
            <w:sz w:val="24"/>
            <w:szCs w:val="24"/>
            <w:vertAlign w:val="superscript"/>
            <w:lang w:val="bg"/>
          </w:rPr>
          <w:footnoteReference w:id="76"/>
        </w:r>
      </w:hyperlink>
      <w:r w:rsidRPr="00F015E5">
        <w:rPr>
          <w:rFonts w:ascii="Times New Roman" w:hAnsi="Times New Roman" w:cs="Times New Roman"/>
          <w:sz w:val="24"/>
          <w:szCs w:val="24"/>
          <w:vertAlign w:val="superscript"/>
          <w:lang w:val="bg"/>
        </w:rPr>
        <w:t>.</w:t>
      </w:r>
      <w:r w:rsidRPr="00CF3404">
        <w:rPr>
          <w:rFonts w:ascii="Times New Roman" w:hAnsi="Times New Roman" w:cs="Times New Roman"/>
          <w:sz w:val="24"/>
          <w:szCs w:val="24"/>
          <w:lang w:val="bg"/>
        </w:rPr>
        <w:t xml:space="preserve"> Също така се препоръчва регистърът на </w:t>
      </w:r>
      <w:r w:rsidRPr="00CF3404">
        <w:rPr>
          <w:rFonts w:ascii="Times New Roman" w:hAnsi="Times New Roman" w:cs="Times New Roman"/>
          <w:sz w:val="24"/>
          <w:szCs w:val="24"/>
        </w:rPr>
        <w:t>CEC</w:t>
      </w:r>
      <w:r w:rsidRPr="00CF3404">
        <w:rPr>
          <w:rFonts w:ascii="Times New Roman" w:hAnsi="Times New Roman" w:cs="Times New Roman"/>
          <w:sz w:val="24"/>
          <w:szCs w:val="24"/>
          <w:lang w:val="bg"/>
        </w:rPr>
        <w:t xml:space="preserve"> и </w:t>
      </w:r>
      <w:r w:rsidRPr="00CF3404">
        <w:rPr>
          <w:rFonts w:ascii="Times New Roman" w:hAnsi="Times New Roman" w:cs="Times New Roman"/>
          <w:sz w:val="24"/>
          <w:szCs w:val="24"/>
        </w:rPr>
        <w:t>REC</w:t>
      </w:r>
      <w:r w:rsidRPr="00CF3404">
        <w:rPr>
          <w:rFonts w:ascii="Times New Roman" w:hAnsi="Times New Roman" w:cs="Times New Roman"/>
          <w:sz w:val="24"/>
          <w:szCs w:val="24"/>
          <w:lang w:val="bg"/>
        </w:rPr>
        <w:t xml:space="preserve"> да се основава на приложение с отворен код (основни и модули), което прави процеса, в който работи приложението, прозрачен, както и всички отделни програми, участващи в обработката на данни, част от платформата.</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Използването на софтуер с отворен код намалява разходите по проекта, повишава нивото му на сигурност и причината за това е, че такъв софтуер се разработва от общности, които постоянно допринасят за тестването, разработването и подобряването на модулите и програмите, които работят до ядрото на основното приложение.</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Инициатива в ЕС, която насърчава използването на софтуер с отворен код, може да бъде намерена в документацията,</w:t>
      </w:r>
      <w:hyperlink w:anchor="bookmark83" w:tooltip="Current Document">
        <w:r w:rsidRPr="00F015E5">
          <w:rPr>
            <w:rStyle w:val="Hyperlink"/>
            <w:rFonts w:ascii="Times New Roman" w:hAnsi="Times New Roman" w:cs="Times New Roman"/>
            <w:sz w:val="24"/>
            <w:szCs w:val="24"/>
            <w:vertAlign w:val="superscript"/>
            <w:lang w:val="bg"/>
          </w:rPr>
          <w:footnoteReference w:id="77"/>
        </w:r>
      </w:hyperlink>
      <w:r w:rsidRPr="00CF3404">
        <w:rPr>
          <w:rFonts w:ascii="Times New Roman" w:hAnsi="Times New Roman" w:cs="Times New Roman"/>
          <w:sz w:val="24"/>
          <w:szCs w:val="24"/>
          <w:lang w:val="bg"/>
        </w:rPr>
        <w:t xml:space="preserve"> предоставена от Службата на ЕС за интелектуална собственост , и публикациите на Европейската комисия</w:t>
      </w:r>
      <w:hyperlink w:anchor="bookmark84" w:tooltip="Current Document">
        <w:r w:rsidRPr="00F015E5">
          <w:rPr>
            <w:rStyle w:val="Hyperlink"/>
            <w:rFonts w:ascii="Times New Roman" w:hAnsi="Times New Roman" w:cs="Times New Roman"/>
            <w:sz w:val="24"/>
            <w:szCs w:val="24"/>
            <w:vertAlign w:val="superscript"/>
            <w:lang w:val="bg"/>
          </w:rPr>
          <w:footnoteReference w:id="78"/>
        </w:r>
      </w:hyperlink>
      <w:r w:rsidRPr="00F015E5">
        <w:rPr>
          <w:rFonts w:ascii="Times New Roman" w:hAnsi="Times New Roman" w:cs="Times New Roman"/>
          <w:sz w:val="24"/>
          <w:szCs w:val="24"/>
          <w:vertAlign w:val="superscript"/>
          <w:lang w:val="bg"/>
        </w:rPr>
        <w:t>,</w:t>
      </w:r>
      <w:hyperlink w:anchor="bookmark85" w:tooltip="Current Document">
        <w:r w:rsidRPr="00F015E5">
          <w:rPr>
            <w:rStyle w:val="Hyperlink"/>
            <w:rFonts w:ascii="Times New Roman" w:hAnsi="Times New Roman" w:cs="Times New Roman"/>
            <w:sz w:val="24"/>
            <w:szCs w:val="24"/>
            <w:vertAlign w:val="superscript"/>
            <w:lang w:val="bg"/>
          </w:rPr>
          <w:footnoteReference w:id="79"/>
        </w:r>
      </w:hyperlink>
      <w:r w:rsidRPr="00F015E5">
        <w:rPr>
          <w:rFonts w:ascii="Times New Roman" w:hAnsi="Times New Roman" w:cs="Times New Roman"/>
          <w:sz w:val="24"/>
          <w:szCs w:val="24"/>
          <w:vertAlign w:val="superscript"/>
          <w:lang w:val="bg"/>
        </w:rPr>
        <w:t>.</w:t>
      </w:r>
      <w:r w:rsidRPr="00CF3404">
        <w:rPr>
          <w:rFonts w:ascii="Times New Roman" w:hAnsi="Times New Roman" w:cs="Times New Roman"/>
          <w:sz w:val="24"/>
          <w:szCs w:val="24"/>
          <w:lang w:val="bg"/>
        </w:rPr>
        <w:t xml:space="preserve"> Тези документи се отнасят до правителствени инициативи в Норвегия, свързани с използването на софтуер с отворен код.</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Регистърът трябва да се основава на мултиплатформено решение, което може да бъде инсталирано за работа на различни операционни системи, като се имат предвид добрите практики, свързани с уеб сървърите и решенията в публичния сектор. Надежден модел е LAMP (или Linux, Apache, MySQL, PHP stack), който работи на виртуален (VPS) или специализиран и добре конфигуриран сървър и осигурява необходимата среда на уеб приложението.</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Самият регистър може да се основава на система за управление на съдържанието</w:t>
      </w:r>
      <w:hyperlink w:anchor="bookmark86" w:tooltip="Current Document">
        <w:r w:rsidRPr="00F015E5">
          <w:rPr>
            <w:rStyle w:val="Hyperlink"/>
            <w:rFonts w:ascii="Times New Roman" w:hAnsi="Times New Roman" w:cs="Times New Roman"/>
            <w:sz w:val="24"/>
            <w:szCs w:val="24"/>
            <w:vertAlign w:val="superscript"/>
            <w:lang w:val="bg"/>
          </w:rPr>
          <w:footnoteReference w:id="80"/>
        </w:r>
      </w:hyperlink>
      <w:r w:rsidRPr="00CF3404">
        <w:rPr>
          <w:rFonts w:ascii="Times New Roman" w:hAnsi="Times New Roman" w:cs="Times New Roman"/>
          <w:sz w:val="24"/>
          <w:szCs w:val="24"/>
          <w:lang w:val="bg"/>
        </w:rPr>
        <w:t xml:space="preserve"> (CMS), като например: Платформа на Енергийната</w:t>
      </w:r>
      <w:hyperlink w:anchor="bookmark87" w:tooltip="Current Document">
        <w:r w:rsidRPr="00F015E5">
          <w:rPr>
            <w:rStyle w:val="Hyperlink"/>
            <w:rFonts w:ascii="Times New Roman" w:hAnsi="Times New Roman" w:cs="Times New Roman"/>
            <w:sz w:val="24"/>
            <w:szCs w:val="24"/>
            <w:vertAlign w:val="superscript"/>
            <w:lang w:val="bg"/>
          </w:rPr>
          <w:footnoteReference w:id="81"/>
        </w:r>
      </w:hyperlink>
      <w:r w:rsidRPr="00CF3404">
        <w:rPr>
          <w:rFonts w:ascii="Times New Roman" w:hAnsi="Times New Roman" w:cs="Times New Roman"/>
          <w:sz w:val="24"/>
          <w:szCs w:val="24"/>
          <w:lang w:val="bg"/>
        </w:rPr>
        <w:t xml:space="preserve"> общност , австрийска информационна </w:t>
      </w:r>
      <w:r w:rsidRPr="00CF3404">
        <w:rPr>
          <w:rFonts w:ascii="Times New Roman" w:hAnsi="Times New Roman" w:cs="Times New Roman"/>
          <w:sz w:val="24"/>
          <w:szCs w:val="24"/>
          <w:lang w:val="bg"/>
        </w:rPr>
        <w:lastRenderedPageBreak/>
        <w:t>платформа за енергийните общности</w:t>
      </w:r>
      <w:hyperlink w:anchor="bookmark88" w:tooltip="Current Document">
        <w:r w:rsidRPr="00F015E5">
          <w:rPr>
            <w:rStyle w:val="Hyperlink"/>
            <w:rFonts w:ascii="Times New Roman" w:hAnsi="Times New Roman" w:cs="Times New Roman"/>
            <w:sz w:val="24"/>
            <w:szCs w:val="24"/>
            <w:vertAlign w:val="superscript"/>
            <w:lang w:val="bg"/>
          </w:rPr>
          <w:footnoteReference w:id="82"/>
        </w:r>
      </w:hyperlink>
      <w:r w:rsidRPr="00CF3404">
        <w:rPr>
          <w:rFonts w:ascii="Times New Roman" w:hAnsi="Times New Roman" w:cs="Times New Roman"/>
          <w:sz w:val="24"/>
          <w:szCs w:val="24"/>
          <w:lang w:val="bg"/>
        </w:rPr>
        <w:t xml:space="preserve"> или мрежата Cler</w:t>
      </w:r>
      <w:hyperlink w:anchor="bookmark89" w:tooltip="Current Document">
        <w:r w:rsidRPr="00F015E5">
          <w:rPr>
            <w:rStyle w:val="Hyperlink"/>
            <w:rFonts w:ascii="Times New Roman" w:hAnsi="Times New Roman" w:cs="Times New Roman"/>
            <w:sz w:val="24"/>
            <w:szCs w:val="24"/>
            <w:vertAlign w:val="superscript"/>
            <w:lang w:val="bg"/>
          </w:rPr>
          <w:footnoteReference w:id="83"/>
        </w:r>
      </w:hyperlink>
      <w:r w:rsidRPr="00CF3404">
        <w:rPr>
          <w:rFonts w:ascii="Times New Roman" w:hAnsi="Times New Roman" w:cs="Times New Roman"/>
          <w:sz w:val="24"/>
          <w:szCs w:val="24"/>
          <w:lang w:val="bg"/>
        </w:rPr>
        <w:t>. Всички тези три регистъра използват приложение Open-Source. В международен план има използвани платформи като Wordpress</w:t>
      </w:r>
      <w:hyperlink w:anchor="bookmark90" w:tooltip="Current Document">
        <w:r w:rsidRPr="00F015E5">
          <w:rPr>
            <w:rStyle w:val="Hyperlink"/>
            <w:rFonts w:ascii="Times New Roman" w:hAnsi="Times New Roman" w:cs="Times New Roman"/>
            <w:sz w:val="24"/>
            <w:szCs w:val="24"/>
            <w:vertAlign w:val="superscript"/>
            <w:lang w:val="bg"/>
          </w:rPr>
          <w:footnoteReference w:id="84"/>
        </w:r>
      </w:hyperlink>
      <w:r w:rsidRPr="00F015E5">
        <w:rPr>
          <w:rFonts w:ascii="Times New Roman" w:hAnsi="Times New Roman" w:cs="Times New Roman"/>
          <w:sz w:val="24"/>
          <w:szCs w:val="24"/>
          <w:vertAlign w:val="superscript"/>
          <w:lang w:val="bg"/>
        </w:rPr>
        <w:t>,</w:t>
      </w:r>
      <w:r w:rsidRPr="00CF3404">
        <w:rPr>
          <w:rFonts w:ascii="Times New Roman" w:hAnsi="Times New Roman" w:cs="Times New Roman"/>
          <w:sz w:val="24"/>
          <w:szCs w:val="24"/>
          <w:lang w:val="bg"/>
        </w:rPr>
        <w:t xml:space="preserve"> Drupal</w:t>
      </w:r>
      <w:hyperlink w:anchor="bookmark91" w:tooltip="Current Document">
        <w:r w:rsidRPr="00F015E5">
          <w:rPr>
            <w:rStyle w:val="Hyperlink"/>
            <w:rFonts w:ascii="Times New Roman" w:hAnsi="Times New Roman" w:cs="Times New Roman"/>
            <w:sz w:val="24"/>
            <w:szCs w:val="24"/>
            <w:vertAlign w:val="superscript"/>
            <w:lang w:val="bg"/>
          </w:rPr>
          <w:footnoteReference w:id="85"/>
        </w:r>
      </w:hyperlink>
      <w:r w:rsidR="00F015E5">
        <w:rPr>
          <w:rFonts w:ascii="Times New Roman" w:hAnsi="Times New Roman" w:cs="Times New Roman"/>
          <w:sz w:val="24"/>
          <w:szCs w:val="24"/>
          <w:lang w:val="bg"/>
        </w:rPr>
        <w:t>, Typo</w:t>
      </w:r>
      <w:hyperlink w:anchor="bookmark92" w:tooltip="Current Document">
        <w:r w:rsidRPr="00F015E5">
          <w:rPr>
            <w:rStyle w:val="Hyperlink"/>
            <w:rFonts w:ascii="Times New Roman" w:hAnsi="Times New Roman" w:cs="Times New Roman"/>
            <w:sz w:val="24"/>
            <w:szCs w:val="24"/>
            <w:vertAlign w:val="superscript"/>
            <w:lang w:val="bg"/>
          </w:rPr>
          <w:footnoteReference w:id="86"/>
        </w:r>
      </w:hyperlink>
      <w:r w:rsidRPr="00CF3404">
        <w:rPr>
          <w:rFonts w:ascii="Times New Roman" w:hAnsi="Times New Roman" w:cs="Times New Roman"/>
          <w:sz w:val="24"/>
          <w:szCs w:val="24"/>
          <w:lang w:val="bg"/>
        </w:rPr>
        <w:t xml:space="preserve">. Всички те са налични като софтуер с отворен код, който задължава разработчика да поддържа прозрачността на кода при използване и създаване на </w:t>
      </w:r>
      <w:r w:rsidRPr="00CF3404">
        <w:rPr>
          <w:rFonts w:ascii="Times New Roman" w:hAnsi="Times New Roman" w:cs="Times New Roman"/>
          <w:b/>
          <w:bCs/>
          <w:sz w:val="24"/>
          <w:szCs w:val="24"/>
          <w:lang w:val="bg"/>
        </w:rPr>
        <w:t>уеб приложението.</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Важно е да изберете </w:t>
      </w:r>
      <w:r w:rsidRPr="00CF3404">
        <w:rPr>
          <w:rFonts w:ascii="Times New Roman" w:hAnsi="Times New Roman" w:cs="Times New Roman"/>
          <w:b/>
          <w:bCs/>
          <w:sz w:val="24"/>
          <w:szCs w:val="24"/>
          <w:lang w:val="bg"/>
        </w:rPr>
        <w:t xml:space="preserve">Open-Source CMS, </w:t>
      </w:r>
      <w:r w:rsidRPr="00CF3404">
        <w:rPr>
          <w:rFonts w:ascii="Times New Roman" w:hAnsi="Times New Roman" w:cs="Times New Roman"/>
          <w:sz w:val="24"/>
          <w:szCs w:val="24"/>
          <w:lang w:val="bg"/>
        </w:rPr>
        <w:t>която работи на модулна основа, което дава възможност за добавяне на бъдещи функционалности. Те могат да бъдат многоезични, гъвкави в управлението на потребителите. По този начин проектът не трябва да бъде ограничен в предварителния си обхват, а да се даде възможност за по-нататъшно модернизиране, поддържане и развитие.</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Администраторът на регистъра, който се грижи за създаването на обхват, разработването и поддържането на регистъра, трябва да избере една от следните възможности за хостване на регистъра и за осигуряване на техническата му поддръжка:</w:t>
      </w:r>
    </w:p>
    <w:p w:rsidR="00CF3404" w:rsidRPr="00CF3404" w:rsidRDefault="007906A8" w:rsidP="00B01311">
      <w:pPr>
        <w:pStyle w:val="ListParagraph"/>
        <w:numPr>
          <w:ilvl w:val="0"/>
          <w:numId w:val="134"/>
        </w:num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нает сървър, работещ на територията на България;</w:t>
      </w:r>
    </w:p>
    <w:p w:rsidR="00CF3404" w:rsidRPr="00CF3404" w:rsidRDefault="007906A8" w:rsidP="00B01311">
      <w:pPr>
        <w:pStyle w:val="ListParagraph"/>
        <w:numPr>
          <w:ilvl w:val="0"/>
          <w:numId w:val="134"/>
        </w:num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виртуален сървър, работещ отново на тази територия;</w:t>
      </w:r>
    </w:p>
    <w:p w:rsidR="007906A8" w:rsidRPr="00CF3404" w:rsidRDefault="007906A8" w:rsidP="00B01311">
      <w:pPr>
        <w:pStyle w:val="ListParagraph"/>
        <w:numPr>
          <w:ilvl w:val="0"/>
          <w:numId w:val="134"/>
        </w:num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Споделен хостинг на една и съща територия.</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Използването на </w:t>
      </w:r>
      <w:r w:rsidRPr="00CF3404">
        <w:rPr>
          <w:rFonts w:ascii="Times New Roman" w:hAnsi="Times New Roman" w:cs="Times New Roman"/>
          <w:b/>
          <w:bCs/>
          <w:sz w:val="24"/>
          <w:szCs w:val="24"/>
          <w:lang w:val="bg"/>
        </w:rPr>
        <w:t xml:space="preserve">локална инфраструктура и IP адрес </w:t>
      </w:r>
      <w:r w:rsidRPr="00CF3404">
        <w:rPr>
          <w:rFonts w:ascii="Times New Roman" w:hAnsi="Times New Roman" w:cs="Times New Roman"/>
          <w:sz w:val="24"/>
          <w:szCs w:val="24"/>
          <w:lang w:val="bg"/>
        </w:rPr>
        <w:t xml:space="preserve">от българското интернет пространство ще ускори достъпа до регистъра за българските потребители и ще обслужва резултатите в търсачките, според местоположението му. Наетият </w:t>
      </w:r>
      <w:r w:rsidRPr="00CF3404">
        <w:rPr>
          <w:rFonts w:ascii="Times New Roman" w:hAnsi="Times New Roman" w:cs="Times New Roman"/>
          <w:b/>
          <w:bCs/>
          <w:sz w:val="24"/>
          <w:szCs w:val="24"/>
          <w:lang w:val="bg"/>
        </w:rPr>
        <w:t xml:space="preserve">сървър </w:t>
      </w:r>
      <w:r w:rsidRPr="00CF3404">
        <w:rPr>
          <w:rFonts w:ascii="Times New Roman" w:hAnsi="Times New Roman" w:cs="Times New Roman"/>
          <w:sz w:val="24"/>
          <w:szCs w:val="24"/>
          <w:lang w:val="bg"/>
        </w:rPr>
        <w:t>дава широк спектър от настройки, като избира информационния център, в който ще бъде разположен, и възможностите за физическа сигурност. От друга страна, тя е свързана с повече инвестиции, техническа поддръжка на месечна база и увеличено потребление на електроенергия. Това обаче е най-доброто решение за отделно или работещо заедно с други по него уеб приложение.</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Специализираният сървър може да се намира в информационен център, собственост на субекта, който администрира регистъра, или в такъв, от доставчик на такава услуга (т.нар. колокационни центрове). Хардуерът може да бъде доставен от доставчика на услугата в центъра или да бъде собственост на субекта, който администрира В случай, че има други уеб приложения, работещи на самия сървър, които консумират споделени ресурси, те трябва да бъдат добре защитени и поддържани/актуализирани по отношение на ядрото и модулите, които използват. Операционната система и всички програми, работещи в нейния стек (LAMP), ако се използват, трябва да бъдат редовно актуализирани.</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Същите изисквания се прилагат за </w:t>
      </w:r>
      <w:r w:rsidRPr="00CF3404">
        <w:rPr>
          <w:rFonts w:ascii="Times New Roman" w:hAnsi="Times New Roman" w:cs="Times New Roman"/>
          <w:b/>
          <w:bCs/>
          <w:sz w:val="24"/>
          <w:szCs w:val="24"/>
          <w:lang w:val="bg"/>
        </w:rPr>
        <w:t>виртуалния частен сървър (VPS)</w:t>
      </w:r>
      <w:r w:rsidRPr="00CF3404">
        <w:rPr>
          <w:rFonts w:ascii="Times New Roman" w:hAnsi="Times New Roman" w:cs="Times New Roman"/>
          <w:sz w:val="24"/>
          <w:szCs w:val="24"/>
          <w:lang w:val="bg"/>
        </w:rPr>
        <w:t xml:space="preserve"> и той може да бъде създаден в инфраструктурата на субекта, отговарящ за администрирането на регистъра, или да бъде използван като услуга от трета страна и да работи в неговата инфраструктура. Споделеният хостинг предоставя минималните възможности за технически решения относно програмния стек, необходими за работата на уеб приложението. Има ограничения за броя на инодите, както и за размера на некомпресираната база данни. Това е </w:t>
      </w:r>
      <w:r w:rsidRPr="00CF3404">
        <w:rPr>
          <w:rFonts w:ascii="Times New Roman" w:hAnsi="Times New Roman" w:cs="Times New Roman"/>
          <w:sz w:val="24"/>
          <w:szCs w:val="24"/>
          <w:lang w:val="bg"/>
        </w:rPr>
        <w:lastRenderedPageBreak/>
        <w:t>нискобюджетно решение, което от една страна се предоставя от компания извън отговорната инфраструктура на субекта, а от друга е свързано с ограничаване на ресурсите и програмите. Задължително е да се избягва такова решение, в случай че се очаква регистърът да съдържа огромно количество информация.</w:t>
      </w:r>
    </w:p>
    <w:p w:rsid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За да се запази вече качената/добавената информация в регистъра, във файловата структура и базата данни, трябва да се осигури </w:t>
      </w:r>
      <w:r w:rsidRPr="00CF3404">
        <w:rPr>
          <w:rFonts w:ascii="Times New Roman" w:hAnsi="Times New Roman" w:cs="Times New Roman"/>
          <w:b/>
          <w:bCs/>
          <w:sz w:val="24"/>
          <w:szCs w:val="24"/>
          <w:lang w:val="bg"/>
        </w:rPr>
        <w:t xml:space="preserve">редовно резервно решение </w:t>
      </w:r>
      <w:r w:rsidRPr="00CF3404">
        <w:rPr>
          <w:rFonts w:ascii="Times New Roman" w:hAnsi="Times New Roman" w:cs="Times New Roman"/>
          <w:sz w:val="24"/>
          <w:szCs w:val="24"/>
          <w:lang w:val="bg"/>
        </w:rPr>
        <w:t>и за двете, а администраторът на регистъра трябва да има достъп до дан</w:t>
      </w:r>
      <w:r w:rsidR="00CF3404">
        <w:rPr>
          <w:rFonts w:ascii="Times New Roman" w:hAnsi="Times New Roman" w:cs="Times New Roman"/>
          <w:sz w:val="24"/>
          <w:szCs w:val="24"/>
          <w:lang w:val="bg"/>
        </w:rPr>
        <w:t>ните и да ги изтегля ежемесечно.</w:t>
      </w:r>
    </w:p>
    <w:p w:rsidR="00CF3404" w:rsidRPr="00CF3404" w:rsidRDefault="00CF3404" w:rsidP="00CF3404">
      <w:pPr>
        <w:spacing w:line="276" w:lineRule="auto"/>
        <w:jc w:val="both"/>
        <w:rPr>
          <w:rFonts w:ascii="Times New Roman" w:hAnsi="Times New Roman" w:cs="Times New Roman"/>
          <w:sz w:val="24"/>
          <w:szCs w:val="24"/>
          <w:lang w:val="bg"/>
        </w:rPr>
      </w:pPr>
      <w:r>
        <w:rPr>
          <w:rFonts w:ascii="Times New Roman" w:hAnsi="Times New Roman" w:cs="Times New Roman"/>
          <w:sz w:val="24"/>
          <w:szCs w:val="24"/>
          <w:lang w:val="bg"/>
        </w:rPr>
        <w:t xml:space="preserve">Архив   </w:t>
      </w:r>
      <w:r w:rsidRPr="00CF3404">
        <w:rPr>
          <w:rFonts w:ascii="Times New Roman" w:hAnsi="Times New Roman" w:cs="Times New Roman"/>
          <w:sz w:val="24"/>
          <w:szCs w:val="24"/>
          <w:lang w:val="bg"/>
        </w:rPr>
        <w:t>може да се направи автоматично на външен носител, който е на разположение в информационния център, в случай на възникнал физически проблем със сървъра, VPS или споделения хостинг.</w:t>
      </w:r>
    </w:p>
    <w:p w:rsidR="00CF3404" w:rsidRPr="00CF3404" w:rsidRDefault="00CF3404"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Администраторът се свързва с платформата и сървъра, като използва защитени протоколи SSH (за използване на терминала) и SSL за достъп до уеб приложението, и копира базата данни на регистъра (DB) в </w:t>
      </w:r>
      <w:r w:rsidRPr="00CF3404">
        <w:rPr>
          <w:rFonts w:ascii="Times New Roman" w:hAnsi="Times New Roman" w:cs="Times New Roman"/>
          <w:b/>
          <w:bCs/>
          <w:sz w:val="24"/>
          <w:szCs w:val="24"/>
          <w:lang w:val="bg"/>
        </w:rPr>
        <w:t>локален криптиран обем или диск.</w:t>
      </w:r>
      <w:r w:rsidRPr="00CF3404">
        <w:rPr>
          <w:rFonts w:ascii="Times New Roman" w:hAnsi="Times New Roman" w:cs="Times New Roman"/>
          <w:sz w:val="24"/>
          <w:szCs w:val="24"/>
          <w:lang w:val="bg"/>
        </w:rPr>
        <w:t xml:space="preserve"> Ако е възможно, може да се направи цялостно криптиране на базата данни на сървъра/vps или споделения хостинг. Това гарантира, че информацията няма да бъде четима в случай на пробив в сигурността и неразрешено изтегляне на DB. Криптирането на DB на самия хост може да бъде предизвикателство и не всяка уеб платформа го предоставя. Идентификационните данни, като паролите, по принцип са криптирани по време на създаването им, което ги прави нечетливи на по-късен етап. Препоръката е, ако техническата среда му позволява да използва криптиране, само ако тази мярка не забавя работата на регистъра или не води до загуба на информация.</w:t>
      </w:r>
    </w:p>
    <w:p w:rsidR="007906A8" w:rsidRDefault="007906A8" w:rsidP="000E6421">
      <w:pPr>
        <w:pStyle w:val="Heading3"/>
        <w:numPr>
          <w:ilvl w:val="2"/>
          <w:numId w:val="46"/>
        </w:numPr>
        <w:spacing w:line="276" w:lineRule="auto"/>
        <w:jc w:val="both"/>
        <w:rPr>
          <w:rFonts w:ascii="Times New Roman" w:hAnsi="Times New Roman" w:cs="Times New Roman"/>
          <w:color w:val="24B1C0"/>
          <w:sz w:val="28"/>
          <w:szCs w:val="28"/>
          <w:lang w:val="bg"/>
        </w:rPr>
      </w:pPr>
      <w:bookmarkStart w:id="318" w:name="bookmark431"/>
      <w:bookmarkStart w:id="319" w:name="bookmark430"/>
      <w:bookmarkStart w:id="320" w:name="_Toc203141321"/>
      <w:r w:rsidRPr="000E6421">
        <w:rPr>
          <w:rFonts w:ascii="Times New Roman" w:hAnsi="Times New Roman" w:cs="Times New Roman"/>
          <w:color w:val="24B1C0"/>
          <w:sz w:val="28"/>
          <w:szCs w:val="28"/>
          <w:lang w:val="bg"/>
        </w:rPr>
        <w:t>Сигурност и оперативна съвместимост</w:t>
      </w:r>
      <w:bookmarkEnd w:id="318"/>
      <w:bookmarkEnd w:id="319"/>
      <w:bookmarkEnd w:id="320"/>
    </w:p>
    <w:p w:rsidR="000E6421" w:rsidRPr="000E6421" w:rsidRDefault="000E6421" w:rsidP="000E6421">
      <w:pPr>
        <w:pStyle w:val="ListParagraph"/>
        <w:rPr>
          <w:lang w:val="bg"/>
        </w:rPr>
      </w:pPr>
    </w:p>
    <w:p w:rsidR="007906A8" w:rsidRPr="00BE3D24" w:rsidRDefault="007906A8" w:rsidP="00BE3D24">
      <w:pPr>
        <w:jc w:val="both"/>
        <w:rPr>
          <w:rFonts w:ascii="Times New Roman" w:hAnsi="Times New Roman" w:cs="Times New Roman"/>
          <w:color w:val="24B1C0"/>
          <w:sz w:val="24"/>
          <w:szCs w:val="24"/>
          <w:lang w:val="bg"/>
        </w:rPr>
      </w:pPr>
      <w:bookmarkStart w:id="321" w:name="bookmark433"/>
      <w:r w:rsidRPr="00BE3D24">
        <w:rPr>
          <w:rFonts w:ascii="Times New Roman" w:hAnsi="Times New Roman" w:cs="Times New Roman"/>
          <w:color w:val="24B1C0"/>
          <w:sz w:val="24"/>
          <w:szCs w:val="24"/>
          <w:lang w:val="bg"/>
        </w:rPr>
        <w:t>Основни и други изисквания</w:t>
      </w:r>
      <w:bookmarkEnd w:id="321"/>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Има някои основни изисквания към операциите на приложенията, за да се осигури сигурност и бъдеща съвместимост. Основното изискване е да има обратна връзка и прозрачност от всички участници в работата с лицата от регистъра. Всички пластири трябва да бъдат документирани, информацията за нестабилните модули и модулите за разработка трябва да бъде налична и последните трябва да се използват от време на време и по време на разработката. За да се гарантира сигурността на проекта, той трябва да има наследство от редактора(ите) и администратора на регистъра, както и от всички лица, свързани с информационната сигурност. След като служителят е освободен от поста си, администраторът трябва да реши или да изтрие профила си (появява се риск от загуба на данни), или просто да промени паролата или потребителското си име, ако последният използва общ имейл за администриране на сайта.</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 xml:space="preserve">Съвместимостта на данните е разделена на няколко нива - програмен стек, сървърен стек, избрания DB софтуер и файловите формати, използвани за обмен на данни. Най-добрата съвместимост ще бъде постигната в случаите, в които използваме лесни за четене и отворени формати, за предпочитане базирани на отворен код. Лесните за четене файлови формати са PDF (прочетени от уеб браузъра и мобилните устройства), ods и odt файлове, които могат да се отварят с отворен код и свободен софтуер като Open Office и в Google Docs, както и широко използвани за обмен на данни структурирани формати като CSV, Json </w:t>
      </w:r>
      <w:r w:rsidRPr="00CF3404">
        <w:rPr>
          <w:rFonts w:ascii="Times New Roman" w:hAnsi="Times New Roman" w:cs="Times New Roman"/>
          <w:sz w:val="24"/>
          <w:szCs w:val="24"/>
          <w:lang w:val="bg"/>
        </w:rPr>
        <w:lastRenderedPageBreak/>
        <w:t>и XML. По този начин ние експортираме информация в независими от платформата файлове/формати, без да задължаваме потребителя да използва определена операционна система или търговски софтуер.</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Съвместимостта се гарантира от възможностите за постоянство на данните при бъдещо актуализиране на стека на сървъра или уеб базираната платформа на регистъра. Трябва да се търси решение, което гарантира безупречна работа в близко бъдеще, без загуба на данни при актуализиране на приложенията. В случай на бъдеща актуализация на ядрото и модулите на уеб базирания регистър или когато старата система достигне края на поддръжката и актуализациите, трябва да се спазва този протокол:</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Трябва да се създаде архив на старата система</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Инсталацията за разработка трябва да бъде настроена на същия или отдалечен сървър</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Изходните данни от старата система трябва да бъдат настроени</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Въвеждането на данни в информационната система трябва да бъде зададено</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Структурата, която отговаря на нуждите на регистъра, трябва да бъде разширена в новата система</w:t>
      </w:r>
    </w:p>
    <w:p w:rsid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Потребителските профили (ако е възможно) трябва да се водят и прехвърлят в новата система</w:t>
      </w:r>
    </w:p>
    <w:p w:rsidR="000E6421" w:rsidRPr="000E6421" w:rsidRDefault="007906A8" w:rsidP="00B01311">
      <w:pPr>
        <w:pStyle w:val="ListParagraph"/>
        <w:numPr>
          <w:ilvl w:val="0"/>
          <w:numId w:val="135"/>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Всички публични профили трябва да бъдат импортирани (и да бъдат свързани с техните потребители)</w:t>
      </w:r>
    </w:p>
    <w:p w:rsidR="000E6421" w:rsidRDefault="007906A8" w:rsidP="00B01311">
      <w:pPr>
        <w:pStyle w:val="ListParagraph"/>
        <w:numPr>
          <w:ilvl w:val="0"/>
          <w:numId w:val="135"/>
        </w:numPr>
        <w:spacing w:after="0"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URL адресите на страниците трябва да се съхраняват, за да се поддържа индексирането на търсачките</w:t>
      </w:r>
    </w:p>
    <w:p w:rsidR="000E6421" w:rsidRDefault="007906A8" w:rsidP="00B01311">
      <w:pPr>
        <w:pStyle w:val="ListParagraph"/>
        <w:numPr>
          <w:ilvl w:val="0"/>
          <w:numId w:val="135"/>
        </w:numPr>
        <w:spacing w:after="0"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Ако е възможно, трябва да се запази адресът на публично достъпните файлове (или да се пренасочи към новото място)</w:t>
      </w:r>
    </w:p>
    <w:p w:rsidR="007906A8" w:rsidRDefault="007906A8" w:rsidP="00B01311">
      <w:pPr>
        <w:pStyle w:val="ListParagraph"/>
        <w:numPr>
          <w:ilvl w:val="0"/>
          <w:numId w:val="135"/>
        </w:numPr>
        <w:spacing w:after="0"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Използването на масови данни за внос и износ на комунални услуги (модули) е силно препоръчително</w:t>
      </w:r>
    </w:p>
    <w:p w:rsidR="000E6421" w:rsidRPr="000E6421" w:rsidRDefault="000E6421" w:rsidP="000E6421">
      <w:pPr>
        <w:pStyle w:val="ListParagraph"/>
        <w:spacing w:after="0" w:line="276" w:lineRule="auto"/>
        <w:jc w:val="both"/>
        <w:rPr>
          <w:rFonts w:ascii="Times New Roman" w:hAnsi="Times New Roman" w:cs="Times New Roman"/>
          <w:sz w:val="24"/>
          <w:szCs w:val="24"/>
          <w:lang w:val="bg"/>
        </w:rPr>
      </w:pP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След като администраторът докаже, че всичко в новата система работи според очакванията, старата може да бъде оставена да работи като справка, най-добре в режим на разработка, за определен период от време.</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b/>
          <w:sz w:val="24"/>
          <w:szCs w:val="24"/>
          <w:lang w:val="bg"/>
        </w:rPr>
        <w:t>Важно:</w:t>
      </w:r>
      <w:r w:rsidRPr="007906A8">
        <w:rPr>
          <w:lang w:val="bg"/>
        </w:rPr>
        <w:t xml:space="preserve"> </w:t>
      </w:r>
      <w:r w:rsidRPr="00CF3404">
        <w:rPr>
          <w:rFonts w:ascii="Times New Roman" w:hAnsi="Times New Roman" w:cs="Times New Roman"/>
          <w:sz w:val="24"/>
          <w:szCs w:val="24"/>
          <w:lang w:val="bg"/>
        </w:rPr>
        <w:t>Когато актуализирате стека, трябва да планирате актуализацията на уеб приложението. По принцип разработката на софтуерни приложения е паралелна, поради което не е препоръчително да се използват стари приложения на нов сървърен стек, тъй като те могат да представляват риск за сигурността. Освен това трябва да бъдат инсталирани различни версии на софтуера (например PHP), за да се постигне съвместимост. Нашето предложение е да планираме и прилагаме глобална, стъпка по стъпка актуализация по отношение на операционната система, работата по нейните приложения и самата уеб.</w:t>
      </w:r>
    </w:p>
    <w:p w:rsidR="007906A8" w:rsidRPr="00FA6915" w:rsidRDefault="007906A8" w:rsidP="00FA6915">
      <w:pPr>
        <w:spacing w:line="276" w:lineRule="auto"/>
        <w:jc w:val="both"/>
        <w:rPr>
          <w:rFonts w:ascii="Times New Roman" w:hAnsi="Times New Roman" w:cs="Times New Roman"/>
          <w:color w:val="24B1C0"/>
          <w:sz w:val="24"/>
          <w:szCs w:val="24"/>
          <w:lang w:val="bg"/>
        </w:rPr>
      </w:pPr>
      <w:bookmarkStart w:id="322" w:name="bookmark435"/>
      <w:r w:rsidRPr="00FA6915">
        <w:rPr>
          <w:rFonts w:ascii="Times New Roman" w:hAnsi="Times New Roman" w:cs="Times New Roman"/>
          <w:color w:val="24B1C0"/>
          <w:sz w:val="24"/>
          <w:szCs w:val="24"/>
          <w:lang w:val="bg"/>
        </w:rPr>
        <w:t>Политика за информационна сигурност</w:t>
      </w:r>
      <w:bookmarkEnd w:id="322"/>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Политиката за сигурност следва да се основава на предварително определен и адекватен достъп на потребителите. Потребителският достъп е класифициран на няколко нива:</w:t>
      </w:r>
    </w:p>
    <w:p w:rsidR="00A735FC" w:rsidRDefault="007906A8" w:rsidP="00B01311">
      <w:pPr>
        <w:pStyle w:val="ListParagraph"/>
        <w:numPr>
          <w:ilvl w:val="0"/>
          <w:numId w:val="136"/>
        </w:num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Администратор на регистъра с пълен достъп</w:t>
      </w:r>
    </w:p>
    <w:p w:rsidR="00A735FC" w:rsidRDefault="007906A8" w:rsidP="00B01311">
      <w:pPr>
        <w:pStyle w:val="ListParagraph"/>
        <w:numPr>
          <w:ilvl w:val="0"/>
          <w:numId w:val="136"/>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Редактор(и), който(които) има(т) възможност да добавя(т), редактира(т) и свързва(т) потребители към своите публични профили в ЕК</w:t>
      </w:r>
    </w:p>
    <w:p w:rsidR="00A735FC" w:rsidRDefault="007906A8" w:rsidP="00B01311">
      <w:pPr>
        <w:pStyle w:val="ListParagraph"/>
        <w:numPr>
          <w:ilvl w:val="0"/>
          <w:numId w:val="136"/>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lastRenderedPageBreak/>
        <w:t>Одиторско дружество, което може да експортира доклади от регистъра, като взема предвид ЕК, заедно с техните данни в подходящ формат (XLS/CSV)</w:t>
      </w:r>
    </w:p>
    <w:p w:rsidR="00A735FC" w:rsidRDefault="007906A8" w:rsidP="00B01311">
      <w:pPr>
        <w:pStyle w:val="ListParagraph"/>
        <w:numPr>
          <w:ilvl w:val="0"/>
          <w:numId w:val="136"/>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 xml:space="preserve">Член на </w:t>
      </w:r>
      <w:r w:rsidRPr="00A735FC">
        <w:rPr>
          <w:rFonts w:ascii="Times New Roman" w:hAnsi="Times New Roman" w:cs="Times New Roman"/>
          <w:sz w:val="24"/>
          <w:szCs w:val="24"/>
        </w:rPr>
        <w:t>CEC</w:t>
      </w:r>
      <w:r w:rsidRPr="00A735FC">
        <w:rPr>
          <w:rFonts w:ascii="Times New Roman" w:hAnsi="Times New Roman" w:cs="Times New Roman"/>
          <w:sz w:val="24"/>
          <w:szCs w:val="24"/>
          <w:lang w:val="bg"/>
        </w:rPr>
        <w:t xml:space="preserve"> и</w:t>
      </w:r>
      <w:r w:rsidRPr="00A735FC">
        <w:rPr>
          <w:rFonts w:ascii="Times New Roman" w:hAnsi="Times New Roman" w:cs="Times New Roman"/>
          <w:sz w:val="24"/>
          <w:szCs w:val="24"/>
          <w:lang w:val="bg-BG"/>
        </w:rPr>
        <w:t>ли</w:t>
      </w:r>
      <w:r w:rsidRPr="00A735FC">
        <w:rPr>
          <w:rFonts w:ascii="Times New Roman" w:hAnsi="Times New Roman" w:cs="Times New Roman"/>
          <w:sz w:val="24"/>
          <w:szCs w:val="24"/>
          <w:lang w:val="bg"/>
        </w:rPr>
        <w:t xml:space="preserve"> </w:t>
      </w:r>
      <w:r w:rsidRPr="00A735FC">
        <w:rPr>
          <w:rFonts w:ascii="Times New Roman" w:hAnsi="Times New Roman" w:cs="Times New Roman"/>
          <w:sz w:val="24"/>
          <w:szCs w:val="24"/>
        </w:rPr>
        <w:t>REC</w:t>
      </w:r>
      <w:r w:rsidRPr="00A735FC">
        <w:rPr>
          <w:rFonts w:ascii="Times New Roman" w:hAnsi="Times New Roman" w:cs="Times New Roman"/>
          <w:sz w:val="24"/>
          <w:szCs w:val="24"/>
          <w:lang w:val="bg"/>
        </w:rPr>
        <w:t>, който има достъп до профила си и може да променя някои данни в него (данни за контакт и т.н.), с изключение на тези данни, които могат да променят правния му статут</w:t>
      </w:r>
    </w:p>
    <w:p w:rsidR="007906A8" w:rsidRPr="00A735FC" w:rsidRDefault="007906A8" w:rsidP="00B01311">
      <w:pPr>
        <w:pStyle w:val="ListParagraph"/>
        <w:numPr>
          <w:ilvl w:val="0"/>
          <w:numId w:val="136"/>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Анонимен потребител (посетител на място), който има достъп до публичния раздел на регистъра</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Платформата трябва да осигурява гъвкавост по отношение на потребителските роли и техните права в системата, както и контрол, кой може да има достъп до информацията в нея, кои полета може да се четат/записват и управляват. Администраторът, редакторът и всички потребители, които имат достъп до личните данни в сайта, трябва да са запознати с политиката за информационна сигурност на субекта, който поддържа регистъра. Последният трябва да има разработена подробна политика, която трябва да бъде публикувана онлайн, за да информира своите потребители.</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Юридическото лице, което поддържа сайта, трябва да бъде администратор на лични данни и да определи лице, което да обработва данните. Важно е да има договори между всички страни, които имат достъп до лични потребителски данни в системата, които могат да бъдат извлечени и предоставени на трета страна. Договорите се основават на политиката на субекта, поддържащ регистъра, по отношение на обработката на лични потребителски данни, както и на политиката за информационна сигурност и обработката на лични данни на всяка страна, която има достъп до него. Примерна политика за правен субект се предоставя от novsait.eu</w:t>
      </w:r>
      <w:r w:rsidR="00CF3404">
        <w:rPr>
          <w:rFonts w:ascii="Times New Roman" w:hAnsi="Times New Roman" w:cs="Times New Roman"/>
          <w:sz w:val="24"/>
          <w:szCs w:val="24"/>
          <w:lang w:val="bg"/>
        </w:rPr>
        <w:t xml:space="preserve"> </w:t>
      </w:r>
      <w:hyperlink w:anchor="bookmark93" w:tooltip="Current Document">
        <w:r w:rsidRPr="007727EE">
          <w:rPr>
            <w:rStyle w:val="Hyperlink"/>
            <w:rFonts w:ascii="Times New Roman" w:hAnsi="Times New Roman" w:cs="Times New Roman"/>
            <w:sz w:val="24"/>
            <w:szCs w:val="24"/>
            <w:vertAlign w:val="superscript"/>
            <w:lang w:val="bg"/>
          </w:rPr>
          <w:footnoteReference w:id="87"/>
        </w:r>
      </w:hyperlink>
      <w:r w:rsidRPr="007727EE">
        <w:rPr>
          <w:rFonts w:ascii="Times New Roman" w:hAnsi="Times New Roman" w:cs="Times New Roman"/>
          <w:sz w:val="24"/>
          <w:szCs w:val="24"/>
          <w:vertAlign w:val="superscript"/>
          <w:lang w:val="bg"/>
        </w:rPr>
        <w:t>.</w:t>
      </w:r>
    </w:p>
    <w:p w:rsidR="007906A8" w:rsidRPr="00CF3404" w:rsidRDefault="007906A8" w:rsidP="00CF3404">
      <w:pPr>
        <w:spacing w:line="276" w:lineRule="auto"/>
        <w:jc w:val="both"/>
        <w:rPr>
          <w:rFonts w:ascii="Times New Roman" w:hAnsi="Times New Roman" w:cs="Times New Roman"/>
          <w:color w:val="24B1C0"/>
          <w:sz w:val="24"/>
          <w:szCs w:val="24"/>
          <w:lang w:val="bg"/>
        </w:rPr>
      </w:pPr>
      <w:bookmarkStart w:id="324" w:name="bookmark437"/>
      <w:r w:rsidRPr="00CF3404">
        <w:rPr>
          <w:rFonts w:ascii="Times New Roman" w:hAnsi="Times New Roman" w:cs="Times New Roman"/>
          <w:color w:val="24B1C0"/>
          <w:sz w:val="24"/>
          <w:szCs w:val="24"/>
          <w:lang w:val="bg"/>
        </w:rPr>
        <w:t>Документация и правилно използване на идентификационните данни</w:t>
      </w:r>
      <w:bookmarkEnd w:id="324"/>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Изключително важно е разработчикът да предостави ръководство за използване на регистъра, в което ясно да е обяснено взаимодействието с платформата по отношение на работата на редактора и одитиращото(ите) дружество(а). Наръчникът подпомага работата на всички страни, участващи в процеса на добавяне и извличане на данни от регистъра, както и в случай на заместване на служител. Част от наръчника, свързана с взаимодействието на регистрираните в платформата EC, може да бъде качена и направена публично достъпна, за да се улесни работата с приложението.</w:t>
      </w:r>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t>Всички лица, които имат роля на редактор или одиторско дружество, трябва да имат достъп до регистрационния формуляр за защитени устройства, проверени за зловреден софтуер, чрез лични и административни мрежи, където Wi-Fi трафикът е криптиран. Препоръчително е да се избягва използването на обществени, некриптирани Wi-Fi мрежи. Удостоверенията, необходими за достъп до регистъра от редактора или одиторското дружество, не трябва да се предоставят на трети страни и се препоръчва да бъдат запазени в криптирана форма на приложение, до която може да се получи достъп с парола и ключ. KeePass е пример за възможен мениджър на пароли за Open-Source</w:t>
      </w:r>
      <w:hyperlink w:anchor="bookmark94" w:tooltip="Current Document">
        <w:r w:rsidRPr="007727EE">
          <w:rPr>
            <w:rStyle w:val="Hyperlink"/>
            <w:rFonts w:ascii="Times New Roman" w:hAnsi="Times New Roman" w:cs="Times New Roman"/>
            <w:sz w:val="24"/>
            <w:szCs w:val="24"/>
            <w:vertAlign w:val="superscript"/>
            <w:lang w:val="bg"/>
          </w:rPr>
          <w:footnoteReference w:id="88"/>
        </w:r>
      </w:hyperlink>
      <w:r w:rsidRPr="007727EE">
        <w:rPr>
          <w:rFonts w:ascii="Times New Roman" w:hAnsi="Times New Roman" w:cs="Times New Roman"/>
          <w:sz w:val="24"/>
          <w:szCs w:val="24"/>
          <w:vertAlign w:val="superscript"/>
          <w:lang w:val="bg"/>
        </w:rPr>
        <w:t>.</w:t>
      </w:r>
    </w:p>
    <w:p w:rsidR="007906A8" w:rsidRPr="00CF3404" w:rsidRDefault="007906A8" w:rsidP="007906A8">
      <w:pPr>
        <w:rPr>
          <w:rFonts w:ascii="Times New Roman" w:hAnsi="Times New Roman" w:cs="Times New Roman"/>
          <w:color w:val="24B9C0"/>
          <w:sz w:val="24"/>
          <w:szCs w:val="24"/>
          <w:lang w:val="bg"/>
        </w:rPr>
      </w:pPr>
      <w:bookmarkStart w:id="326" w:name="bookmark439"/>
      <w:r w:rsidRPr="00CF3404">
        <w:rPr>
          <w:rFonts w:ascii="Times New Roman" w:hAnsi="Times New Roman" w:cs="Times New Roman"/>
          <w:color w:val="24B9C0"/>
          <w:sz w:val="24"/>
          <w:szCs w:val="24"/>
          <w:lang w:val="bg"/>
        </w:rPr>
        <w:t>Сигурност, мониторинг и правилно използване на сървъра</w:t>
      </w:r>
      <w:bookmarkEnd w:id="326"/>
    </w:p>
    <w:p w:rsidR="007906A8" w:rsidRPr="00CF3404" w:rsidRDefault="007906A8" w:rsidP="00CF3404">
      <w:pPr>
        <w:spacing w:line="276" w:lineRule="auto"/>
        <w:jc w:val="both"/>
        <w:rPr>
          <w:rFonts w:ascii="Times New Roman" w:hAnsi="Times New Roman" w:cs="Times New Roman"/>
          <w:sz w:val="24"/>
          <w:szCs w:val="24"/>
          <w:lang w:val="bg"/>
        </w:rPr>
      </w:pPr>
      <w:r w:rsidRPr="00CF3404">
        <w:rPr>
          <w:rFonts w:ascii="Times New Roman" w:hAnsi="Times New Roman" w:cs="Times New Roman"/>
          <w:sz w:val="24"/>
          <w:szCs w:val="24"/>
          <w:lang w:val="bg"/>
        </w:rPr>
        <w:lastRenderedPageBreak/>
        <w:t>Уеб сървърът, в който се намира регистърът, е средата, в която ще работи приложението. В случай, че решим регистърът да работи на специализиран или виртуален сървър, е важно да изберем операционна система (ОС), която ни дава възможност за лесно надграждане, информира ни за нови пакети и която може автоматично да приложи частично надграждане на последната. Пример за операционна система с отворен код, базирана на GNU, която може да се поддържа лесно след основната инсталация, е Debian Linux</w:t>
      </w:r>
      <w:r w:rsidR="00CF3404">
        <w:rPr>
          <w:rFonts w:ascii="Times New Roman" w:hAnsi="Times New Roman" w:cs="Times New Roman"/>
          <w:sz w:val="24"/>
          <w:szCs w:val="24"/>
          <w:lang w:val="bg"/>
        </w:rPr>
        <w:t xml:space="preserve"> </w:t>
      </w:r>
      <w:hyperlink w:anchor="bookmark95" w:tooltip="Current Document">
        <w:r w:rsidRPr="007727EE">
          <w:rPr>
            <w:rStyle w:val="Hyperlink"/>
            <w:rFonts w:ascii="Times New Roman" w:hAnsi="Times New Roman" w:cs="Times New Roman"/>
            <w:sz w:val="24"/>
            <w:szCs w:val="24"/>
            <w:vertAlign w:val="superscript"/>
            <w:lang w:val="bg"/>
          </w:rPr>
          <w:footnoteReference w:id="89"/>
        </w:r>
      </w:hyperlink>
      <w:r w:rsidRPr="007727EE">
        <w:rPr>
          <w:rFonts w:ascii="Times New Roman" w:hAnsi="Times New Roman" w:cs="Times New Roman"/>
          <w:sz w:val="24"/>
          <w:szCs w:val="24"/>
          <w:vertAlign w:val="superscript"/>
          <w:lang w:val="bg"/>
        </w:rPr>
        <w:t>.</w:t>
      </w:r>
    </w:p>
    <w:p w:rsidR="007906A8" w:rsidRPr="001F1C12" w:rsidRDefault="007906A8" w:rsidP="001F1C12">
      <w:pPr>
        <w:spacing w:line="360"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Най-добри практики, които трябва да се следват:</w:t>
      </w:r>
    </w:p>
    <w:p w:rsidR="00A735FC" w:rsidRDefault="007906A8" w:rsidP="00B01311">
      <w:pPr>
        <w:pStyle w:val="ListParagraph"/>
        <w:numPr>
          <w:ilvl w:val="0"/>
          <w:numId w:val="137"/>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На уеб сървъра трябва да работят само програмите (приложенията), необходими за безупречната му работа, които се използват за постоянна или временна поддръжка или разработка на уеб приложения.</w:t>
      </w:r>
    </w:p>
    <w:p w:rsidR="00A735FC" w:rsidRDefault="007906A8" w:rsidP="00B01311">
      <w:pPr>
        <w:pStyle w:val="ListParagraph"/>
        <w:numPr>
          <w:ilvl w:val="0"/>
          <w:numId w:val="13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Ядрото на операционната система трябва да се актуализира редовно, за да се гарантира нейната сигурност, а в някои случаи тя трябва да се преизчислява, така че актуализациите да могат да се прилагат.</w:t>
      </w:r>
    </w:p>
    <w:p w:rsidR="00A735FC" w:rsidRDefault="007906A8" w:rsidP="00B01311">
      <w:pPr>
        <w:pStyle w:val="ListParagraph"/>
        <w:numPr>
          <w:ilvl w:val="0"/>
          <w:numId w:val="13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За да деактивирате всички неизползвани комуникационни портове и да оставите отворени само тези, необходими за администриране на сървъра, достъп до регистъра и други, работещи на сървърното уеб приложение.</w:t>
      </w:r>
    </w:p>
    <w:p w:rsidR="007906A8" w:rsidRPr="00A735FC" w:rsidRDefault="007906A8" w:rsidP="00B01311">
      <w:pPr>
        <w:pStyle w:val="ListParagraph"/>
        <w:numPr>
          <w:ilvl w:val="0"/>
          <w:numId w:val="137"/>
        </w:numPr>
        <w:spacing w:line="276" w:lineRule="auto"/>
        <w:jc w:val="both"/>
        <w:rPr>
          <w:rFonts w:ascii="Times New Roman" w:hAnsi="Times New Roman" w:cs="Times New Roman"/>
          <w:sz w:val="24"/>
          <w:szCs w:val="24"/>
          <w:lang w:val="bg"/>
        </w:rPr>
      </w:pPr>
      <w:r w:rsidRPr="00A735FC">
        <w:rPr>
          <w:rFonts w:ascii="Times New Roman" w:hAnsi="Times New Roman" w:cs="Times New Roman"/>
          <w:sz w:val="24"/>
          <w:szCs w:val="24"/>
          <w:lang w:val="bg"/>
        </w:rPr>
        <w:t>Всички други програми, изпълнявани на сървъра, които не се нуждаят от публичен достъп, трябва да слушат само вътрешните за сървъра или вътрешните мрежови адреси.</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Портовете в интернет базираната операционна система могат лесно да бъдат поддържани с помощта на програмата iptables</w:t>
      </w:r>
      <w:r w:rsidRPr="007727EE">
        <w:rPr>
          <w:rFonts w:ascii="Times New Roman" w:hAnsi="Times New Roman" w:cs="Times New Roman"/>
          <w:sz w:val="24"/>
          <w:szCs w:val="24"/>
          <w:vertAlign w:val="superscript"/>
          <w:lang w:val="bg"/>
        </w:rPr>
        <w:t>.</w:t>
      </w:r>
      <w:r w:rsidR="001F1C12" w:rsidRPr="007727EE">
        <w:rPr>
          <w:rFonts w:ascii="Times New Roman" w:hAnsi="Times New Roman" w:cs="Times New Roman"/>
          <w:sz w:val="24"/>
          <w:szCs w:val="24"/>
          <w:vertAlign w:val="superscript"/>
          <w:lang w:val="bg"/>
        </w:rPr>
        <w:t xml:space="preserve"> </w:t>
      </w:r>
      <w:hyperlink w:anchor="bookmark96" w:tooltip="Current Document">
        <w:r w:rsidRPr="007727EE">
          <w:rPr>
            <w:rStyle w:val="Hyperlink"/>
            <w:rFonts w:ascii="Times New Roman" w:hAnsi="Times New Roman" w:cs="Times New Roman"/>
            <w:sz w:val="24"/>
            <w:szCs w:val="24"/>
            <w:vertAlign w:val="superscript"/>
            <w:lang w:val="bg"/>
          </w:rPr>
          <w:footnoteReference w:id="90"/>
        </w:r>
      </w:hyperlink>
    </w:p>
    <w:p w:rsidR="007906A8" w:rsidRPr="001F1C12" w:rsidRDefault="007906A8" w:rsidP="001F1C12">
      <w:pPr>
        <w:spacing w:line="276" w:lineRule="auto"/>
        <w:jc w:val="both"/>
        <w:rPr>
          <w:rFonts w:ascii="Times New Roman" w:hAnsi="Times New Roman" w:cs="Times New Roman"/>
          <w:color w:val="24B1C0"/>
          <w:sz w:val="24"/>
          <w:szCs w:val="24"/>
          <w:lang w:val="bg"/>
        </w:rPr>
      </w:pPr>
      <w:bookmarkStart w:id="328" w:name="bookmark441"/>
      <w:r w:rsidRPr="001F1C12">
        <w:rPr>
          <w:rFonts w:ascii="Times New Roman" w:hAnsi="Times New Roman" w:cs="Times New Roman"/>
          <w:color w:val="24B1C0"/>
          <w:sz w:val="24"/>
          <w:szCs w:val="24"/>
          <w:lang w:val="bg"/>
        </w:rPr>
        <w:t>Пример за добри настройки на мрежов сървър</w:t>
      </w:r>
      <w:bookmarkEnd w:id="328"/>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В</w:t>
      </w:r>
      <w:hyperlink w:anchor="bookmark443" w:tooltip="Current Document">
        <w:r w:rsidRPr="001F1C12">
          <w:rPr>
            <w:rStyle w:val="Hyperlink"/>
            <w:rFonts w:ascii="Times New Roman" w:hAnsi="Times New Roman" w:cs="Times New Roman"/>
            <w:sz w:val="24"/>
            <w:szCs w:val="24"/>
            <w:lang w:val="bg"/>
          </w:rPr>
          <w:t xml:space="preserve"> таблица 4 </w:t>
        </w:r>
      </w:hyperlink>
      <w:r w:rsidRPr="001F1C12">
        <w:rPr>
          <w:rFonts w:ascii="Times New Roman" w:hAnsi="Times New Roman" w:cs="Times New Roman"/>
          <w:sz w:val="24"/>
          <w:szCs w:val="24"/>
          <w:lang w:val="bg"/>
        </w:rPr>
        <w:t>по-долу са дадени примери за публично достъпни отворени пристанища, като например 22, 80 и 443, но 3306, 11211 и 25 се използват за вътрешна комуникация, което ги предпазва от евентуална атака. Достъпът до сървъра за неговото управление трябва да се извършва не чрез парола, а с двойка публичен и частен, защитен с парола ключ. Това се отнася за всички потребители, които трябва да се свържат със сървъра чрез терминал. Администраторът на сървъра трябва да използва потребителски профил с неадминистративни привилегии за административни задачи, като използва програмата sudo, за да постигне основните привилегии, и при определени обстоятелства.</w:t>
      </w:r>
    </w:p>
    <w:p w:rsidR="007906A8" w:rsidRPr="001F1C12" w:rsidRDefault="007906A8" w:rsidP="001F1C12">
      <w:pPr>
        <w:spacing w:line="276" w:lineRule="auto"/>
        <w:jc w:val="both"/>
        <w:rPr>
          <w:rFonts w:ascii="Times New Roman" w:hAnsi="Times New Roman" w:cs="Times New Roman"/>
          <w:sz w:val="24"/>
          <w:szCs w:val="24"/>
          <w:lang w:val="bg"/>
        </w:rPr>
      </w:pPr>
      <w:bookmarkStart w:id="329" w:name="bookmark443"/>
      <w:r w:rsidRPr="001F1C12">
        <w:rPr>
          <w:rFonts w:ascii="Times New Roman" w:hAnsi="Times New Roman" w:cs="Times New Roman"/>
          <w:sz w:val="24"/>
          <w:szCs w:val="24"/>
          <w:lang w:val="bg"/>
        </w:rPr>
        <w:t>Таблица 4 — Активни интернет връзки (само сървъри)</w:t>
      </w:r>
      <w:bookmarkEnd w:id="329"/>
    </w:p>
    <w:p w:rsidR="007727EE" w:rsidRDefault="007727EE" w:rsidP="001F1C12">
      <w:pPr>
        <w:jc w:val="center"/>
        <w:rPr>
          <w:lang w:val="bg"/>
        </w:rPr>
      </w:pPr>
    </w:p>
    <w:p w:rsidR="007727EE" w:rsidRDefault="007727EE" w:rsidP="001F1C12">
      <w:pPr>
        <w:jc w:val="center"/>
        <w:rPr>
          <w:lang w:val="bg"/>
        </w:rPr>
      </w:pPr>
      <w:r w:rsidRPr="007906A8">
        <w:rPr>
          <w:noProof/>
          <w:lang w:val="bg-BG" w:eastAsia="bg-BG"/>
        </w:rPr>
        <w:lastRenderedPageBreak/>
        <w:drawing>
          <wp:inline distT="0" distB="0" distL="0" distR="0" wp14:anchorId="4AE61C65" wp14:editId="78DC2BF9">
            <wp:extent cx="1365250" cy="1450975"/>
            <wp:effectExtent l="0" t="0" r="0" b="0"/>
            <wp:docPr id="206" name="Пикутър 206"/>
            <wp:cNvGraphicFramePr/>
            <a:graphic xmlns:a="http://schemas.openxmlformats.org/drawingml/2006/main">
              <a:graphicData uri="http://schemas.openxmlformats.org/drawingml/2006/picture">
                <pic:pic xmlns:pic="http://schemas.openxmlformats.org/drawingml/2006/picture">
                  <pic:nvPicPr>
                    <pic:cNvPr id="206" name="Снимка 206"/>
                    <pic:cNvPicPr/>
                  </pic:nvPicPr>
                  <pic:blipFill>
                    <a:blip r:embed="rId51"/>
                    <a:stretch/>
                  </pic:blipFill>
                  <pic:spPr>
                    <a:xfrm>
                      <a:off x="0" y="0"/>
                      <a:ext cx="1365250" cy="1450975"/>
                    </a:xfrm>
                    <a:prstGeom prst="rect">
                      <a:avLst/>
                    </a:prstGeom>
                  </pic:spPr>
                </pic:pic>
              </a:graphicData>
            </a:graphic>
          </wp:inline>
        </w:drawing>
      </w:r>
    </w:p>
    <w:p w:rsidR="007727EE" w:rsidRDefault="007727EE" w:rsidP="001F1C12">
      <w:pPr>
        <w:jc w:val="center"/>
        <w:rPr>
          <w:lang w:val="bg"/>
        </w:rPr>
      </w:pPr>
    </w:p>
    <w:p w:rsidR="007906A8" w:rsidRPr="007906A8" w:rsidRDefault="007906A8" w:rsidP="001F1C12">
      <w:pPr>
        <w:jc w:val="center"/>
        <w:rPr>
          <w:lang w:val="bg"/>
        </w:rPr>
      </w:pPr>
    </w:p>
    <w:p w:rsidR="007906A8" w:rsidRDefault="007906A8" w:rsidP="007906A8">
      <w:pPr>
        <w:rPr>
          <w:lang w:val="bg"/>
        </w:rPr>
      </w:pPr>
    </w:p>
    <w:p w:rsidR="007727EE" w:rsidRDefault="007727EE" w:rsidP="007906A8">
      <w:pPr>
        <w:rPr>
          <w:lang w:val="bg"/>
        </w:rPr>
      </w:pPr>
    </w:p>
    <w:p w:rsidR="007727EE" w:rsidRPr="007906A8" w:rsidRDefault="007727EE" w:rsidP="007906A8">
      <w:pPr>
        <w:rPr>
          <w:lang w:val="bg"/>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128"/>
        <w:gridCol w:w="965"/>
        <w:gridCol w:w="2006"/>
        <w:gridCol w:w="1368"/>
        <w:gridCol w:w="1354"/>
        <w:gridCol w:w="2105"/>
      </w:tblGrid>
      <w:tr w:rsidR="007906A8" w:rsidRPr="007727EE" w:rsidTr="007727EE">
        <w:trPr>
          <w:trHeight w:hRule="exact" w:val="389"/>
          <w:jc w:val="center"/>
        </w:trPr>
        <w:tc>
          <w:tcPr>
            <w:tcW w:w="1128" w:type="dxa"/>
            <w:tcBorders>
              <w:top w:val="single" w:sz="4" w:space="0" w:color="auto"/>
              <w:left w:val="single" w:sz="4" w:space="0" w:color="auto"/>
            </w:tcBorders>
            <w:shd w:val="clear" w:color="auto" w:fill="auto"/>
            <w:vAlign w:val="center"/>
          </w:tcPr>
          <w:p w:rsidR="001F1C12" w:rsidRPr="007727EE" w:rsidRDefault="007906A8" w:rsidP="007906A8">
            <w:pPr>
              <w:rPr>
                <w:rFonts w:ascii="Times New Roman" w:hAnsi="Times New Roman" w:cs="Times New Roman"/>
                <w:lang w:val="bg"/>
              </w:rPr>
            </w:pPr>
            <w:r w:rsidRPr="007727EE">
              <w:rPr>
                <w:rFonts w:ascii="Times New Roman" w:hAnsi="Times New Roman" w:cs="Times New Roman"/>
                <w:lang w:val="bg"/>
              </w:rPr>
              <w:t xml:space="preserve">Proto </w:t>
            </w:r>
          </w:p>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Recv-Q на</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Изпращане на въпроси</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Местен адрес</w:t>
            </w:r>
          </w:p>
        </w:tc>
        <w:tc>
          <w:tcPr>
            <w:tcW w:w="136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Чуждестранен адрес</w:t>
            </w: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Държава</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PID/Наименование на програмата</w:t>
            </w:r>
          </w:p>
        </w:tc>
      </w:tr>
      <w:tr w:rsidR="007906A8" w:rsidRPr="007727EE" w:rsidTr="007727EE">
        <w:trPr>
          <w:trHeight w:hRule="exact" w:val="590"/>
          <w:jc w:val="center"/>
        </w:trPr>
        <w:tc>
          <w:tcPr>
            <w:tcW w:w="112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топ</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127.0.0.1:3306</w:t>
            </w:r>
          </w:p>
        </w:tc>
        <w:tc>
          <w:tcPr>
            <w:tcW w:w="136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0.0.0.0:*</w:t>
            </w: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618/mariadbd</w:t>
            </w:r>
          </w:p>
        </w:tc>
      </w:tr>
      <w:tr w:rsidR="007906A8" w:rsidRPr="007727EE" w:rsidTr="007727EE">
        <w:trPr>
          <w:trHeight w:hRule="exact" w:val="712"/>
          <w:jc w:val="center"/>
        </w:trPr>
        <w:tc>
          <w:tcPr>
            <w:tcW w:w="1128"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топ</w:t>
            </w:r>
          </w:p>
        </w:tc>
        <w:tc>
          <w:tcPr>
            <w:tcW w:w="965"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127.0.0.1:11211</w:t>
            </w:r>
          </w:p>
        </w:tc>
        <w:tc>
          <w:tcPr>
            <w:tcW w:w="1368"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0.0.0.0:*</w:t>
            </w:r>
          </w:p>
        </w:tc>
        <w:tc>
          <w:tcPr>
            <w:tcW w:w="1354"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2058613/ memcached</w:t>
            </w:r>
          </w:p>
        </w:tc>
      </w:tr>
      <w:tr w:rsidR="007906A8" w:rsidRPr="007727EE" w:rsidTr="007727EE">
        <w:trPr>
          <w:trHeight w:hRule="exact" w:val="693"/>
          <w:jc w:val="center"/>
        </w:trPr>
        <w:tc>
          <w:tcPr>
            <w:tcW w:w="112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топ</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0.0.0.0:22</w:t>
            </w:r>
          </w:p>
        </w:tc>
        <w:tc>
          <w:tcPr>
            <w:tcW w:w="136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0.0.0.0:*</w:t>
            </w: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533/sshd:/usr/sbin</w:t>
            </w:r>
          </w:p>
        </w:tc>
      </w:tr>
      <w:tr w:rsidR="007906A8" w:rsidRPr="007727EE" w:rsidTr="007727EE">
        <w:trPr>
          <w:trHeight w:hRule="exact" w:val="716"/>
          <w:jc w:val="center"/>
        </w:trPr>
        <w:tc>
          <w:tcPr>
            <w:tcW w:w="112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топ</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127.0.0.1:25</w:t>
            </w:r>
          </w:p>
        </w:tc>
        <w:tc>
          <w:tcPr>
            <w:tcW w:w="136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0.0.0.0:*</w:t>
            </w: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846963/exim4</w:t>
            </w:r>
          </w:p>
        </w:tc>
      </w:tr>
      <w:tr w:rsidR="007906A8" w:rsidRPr="007727EE" w:rsidTr="007727EE">
        <w:trPr>
          <w:trHeight w:hRule="exact" w:val="712"/>
          <w:jc w:val="center"/>
        </w:trPr>
        <w:tc>
          <w:tcPr>
            <w:tcW w:w="112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върхове</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:::80</w:t>
            </w:r>
          </w:p>
        </w:tc>
        <w:tc>
          <w:tcPr>
            <w:tcW w:w="1368"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336519/apache2</w:t>
            </w:r>
          </w:p>
        </w:tc>
      </w:tr>
      <w:tr w:rsidR="007906A8" w:rsidRPr="007727EE" w:rsidTr="007727EE">
        <w:trPr>
          <w:trHeight w:hRule="exact" w:val="561"/>
          <w:jc w:val="center"/>
        </w:trPr>
        <w:tc>
          <w:tcPr>
            <w:tcW w:w="1128"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върхове</w:t>
            </w:r>
          </w:p>
        </w:tc>
        <w:tc>
          <w:tcPr>
            <w:tcW w:w="965"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::1:25</w:t>
            </w:r>
          </w:p>
        </w:tc>
        <w:tc>
          <w:tcPr>
            <w:tcW w:w="1368" w:type="dxa"/>
            <w:tcBorders>
              <w:top w:val="single" w:sz="4" w:space="0" w:color="auto"/>
              <w:left w:val="single" w:sz="4" w:space="0" w:color="auto"/>
            </w:tcBorders>
            <w:shd w:val="clear" w:color="auto" w:fill="auto"/>
          </w:tcPr>
          <w:p w:rsidR="007906A8" w:rsidRPr="007727EE" w:rsidRDefault="007906A8" w:rsidP="007906A8">
            <w:pPr>
              <w:rPr>
                <w:rFonts w:ascii="Times New Roman" w:hAnsi="Times New Roman" w:cs="Times New Roman"/>
                <w:lang w:val="bg"/>
              </w:rPr>
            </w:pPr>
          </w:p>
        </w:tc>
        <w:tc>
          <w:tcPr>
            <w:tcW w:w="1354" w:type="dxa"/>
            <w:tcBorders>
              <w:top w:val="single" w:sz="4" w:space="0" w:color="auto"/>
              <w:lef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84G963/exim4</w:t>
            </w:r>
          </w:p>
        </w:tc>
      </w:tr>
      <w:tr w:rsidR="007906A8" w:rsidRPr="007727EE" w:rsidTr="007727EE">
        <w:trPr>
          <w:trHeight w:hRule="exact" w:val="389"/>
          <w:jc w:val="center"/>
        </w:trPr>
        <w:tc>
          <w:tcPr>
            <w:tcW w:w="1128" w:type="dxa"/>
            <w:tcBorders>
              <w:top w:val="single" w:sz="4" w:space="0" w:color="auto"/>
              <w:left w:val="single" w:sz="4" w:space="0" w:color="auto"/>
              <w:bottom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b/>
                <w:bCs/>
                <w:lang w:val="bg"/>
              </w:rPr>
              <w:t>tcp6</w:t>
            </w:r>
          </w:p>
        </w:tc>
        <w:tc>
          <w:tcPr>
            <w:tcW w:w="965" w:type="dxa"/>
            <w:tcBorders>
              <w:top w:val="single" w:sz="4" w:space="0" w:color="auto"/>
              <w:left w:val="single" w:sz="4" w:space="0" w:color="auto"/>
              <w:bottom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0</w:t>
            </w:r>
          </w:p>
        </w:tc>
        <w:tc>
          <w:tcPr>
            <w:tcW w:w="2006" w:type="dxa"/>
            <w:tcBorders>
              <w:top w:val="single" w:sz="4" w:space="0" w:color="auto"/>
              <w:left w:val="single" w:sz="4" w:space="0" w:color="auto"/>
              <w:bottom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:::443</w:t>
            </w:r>
          </w:p>
        </w:tc>
        <w:tc>
          <w:tcPr>
            <w:tcW w:w="1368" w:type="dxa"/>
            <w:tcBorders>
              <w:top w:val="single" w:sz="4" w:space="0" w:color="auto"/>
              <w:left w:val="single" w:sz="4" w:space="0" w:color="auto"/>
              <w:bottom w:val="single" w:sz="4" w:space="0" w:color="auto"/>
            </w:tcBorders>
            <w:shd w:val="clear" w:color="auto" w:fill="auto"/>
          </w:tcPr>
          <w:p w:rsidR="007906A8" w:rsidRPr="007727EE" w:rsidRDefault="007906A8" w:rsidP="007906A8">
            <w:pPr>
              <w:rPr>
                <w:rFonts w:ascii="Times New Roman" w:hAnsi="Times New Roman" w:cs="Times New Roman"/>
                <w:lang w:val="bg"/>
              </w:rPr>
            </w:pPr>
          </w:p>
        </w:tc>
        <w:tc>
          <w:tcPr>
            <w:tcW w:w="1354" w:type="dxa"/>
            <w:tcBorders>
              <w:top w:val="single" w:sz="4" w:space="0" w:color="auto"/>
              <w:left w:val="single" w:sz="4" w:space="0" w:color="auto"/>
              <w:bottom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ВНИМАНИЕ</w:t>
            </w:r>
          </w:p>
        </w:tc>
        <w:tc>
          <w:tcPr>
            <w:tcW w:w="2105" w:type="dxa"/>
            <w:tcBorders>
              <w:top w:val="single" w:sz="4" w:space="0" w:color="auto"/>
              <w:left w:val="single" w:sz="4" w:space="0" w:color="auto"/>
              <w:bottom w:val="single" w:sz="4" w:space="0" w:color="auto"/>
              <w:right w:val="single" w:sz="4" w:space="0" w:color="auto"/>
            </w:tcBorders>
            <w:shd w:val="clear" w:color="auto" w:fill="auto"/>
            <w:vAlign w:val="center"/>
          </w:tcPr>
          <w:p w:rsidR="007906A8" w:rsidRPr="007727EE" w:rsidRDefault="007906A8" w:rsidP="007906A8">
            <w:pPr>
              <w:rPr>
                <w:rFonts w:ascii="Times New Roman" w:hAnsi="Times New Roman" w:cs="Times New Roman"/>
                <w:lang w:val="bg"/>
              </w:rPr>
            </w:pPr>
            <w:r w:rsidRPr="007727EE">
              <w:rPr>
                <w:rFonts w:ascii="Times New Roman" w:hAnsi="Times New Roman" w:cs="Times New Roman"/>
                <w:lang w:val="bg"/>
              </w:rPr>
              <w:t>336519/apache2</w:t>
            </w:r>
          </w:p>
        </w:tc>
      </w:tr>
    </w:tbl>
    <w:p w:rsidR="007906A8" w:rsidRPr="007906A8" w:rsidRDefault="007906A8" w:rsidP="007906A8">
      <w:pPr>
        <w:rPr>
          <w:lang w:val="bg"/>
        </w:rPr>
      </w:pP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Достъпът до черупката (терминала) може да бъде предоставен на други доверени лица, ако е необходимо, които използват защитени протоколи, отново с двойка публичен и частен ключ. Достъпът до уеб приложенията трябва да се осъществява чрез протокола HTTPS, който дава възможност за използване на HTTP2 и осигурява повишена скорост и сигурност. Akamai Cloud предоставя по-подробна информация</w:t>
      </w:r>
      <w:r w:rsidR="001F1C12">
        <w:rPr>
          <w:rFonts w:ascii="Times New Roman" w:hAnsi="Times New Roman" w:cs="Times New Roman"/>
          <w:sz w:val="24"/>
          <w:szCs w:val="24"/>
          <w:lang w:val="bg"/>
        </w:rPr>
        <w:t xml:space="preserve"> </w:t>
      </w:r>
      <w:hyperlink w:anchor="bookmark97" w:tooltip="Current Document">
        <w:r w:rsidRPr="007727EE">
          <w:rPr>
            <w:rStyle w:val="Hyperlink"/>
            <w:rFonts w:ascii="Times New Roman" w:hAnsi="Times New Roman" w:cs="Times New Roman"/>
            <w:sz w:val="24"/>
            <w:szCs w:val="24"/>
            <w:vertAlign w:val="superscript"/>
            <w:lang w:val="bg"/>
          </w:rPr>
          <w:footnoteReference w:id="91"/>
        </w:r>
      </w:hyperlink>
      <w:r w:rsidRPr="001F1C12">
        <w:rPr>
          <w:rFonts w:ascii="Times New Roman" w:hAnsi="Times New Roman" w:cs="Times New Roman"/>
          <w:sz w:val="24"/>
          <w:szCs w:val="24"/>
          <w:lang w:val="bg"/>
        </w:rPr>
        <w:t xml:space="preserve"> в това отношение. Пример за приложение, което позволява периодичното издаване на SSL сертификати, които криптират връзката при използване на уеб сървъра и интернет базираното приложение, е достъпен чрез Let’s Encrypt</w:t>
      </w:r>
      <w:r w:rsidR="001F1C12">
        <w:rPr>
          <w:rFonts w:ascii="Times New Roman" w:hAnsi="Times New Roman" w:cs="Times New Roman"/>
          <w:sz w:val="24"/>
          <w:szCs w:val="24"/>
          <w:lang w:val="bg"/>
        </w:rPr>
        <w:t xml:space="preserve"> </w:t>
      </w:r>
      <w:hyperlink w:anchor="bookmark98" w:tooltip="Current Document">
        <w:r w:rsidRPr="007727EE">
          <w:rPr>
            <w:rStyle w:val="Hyperlink"/>
            <w:rFonts w:ascii="Times New Roman" w:hAnsi="Times New Roman" w:cs="Times New Roman"/>
            <w:sz w:val="24"/>
            <w:szCs w:val="24"/>
            <w:vertAlign w:val="superscript"/>
            <w:lang w:val="bg"/>
          </w:rPr>
          <w:footnoteReference w:id="92"/>
        </w:r>
      </w:hyperlink>
      <w:hyperlink r:id="rId52" w:history="1">
        <w:r w:rsidRPr="001F1C12">
          <w:rPr>
            <w:rStyle w:val="Hyperlink"/>
            <w:rFonts w:ascii="Times New Roman" w:hAnsi="Times New Roman" w:cs="Times New Roman"/>
            <w:sz w:val="24"/>
            <w:szCs w:val="24"/>
            <w:lang w:val="bg"/>
          </w:rPr>
          <w:t>.</w:t>
        </w:r>
      </w:hyperlink>
    </w:p>
    <w:p w:rsidR="007906A8" w:rsidRPr="001F1C12" w:rsidRDefault="007906A8" w:rsidP="001F1C12">
      <w:pPr>
        <w:spacing w:line="276" w:lineRule="auto"/>
        <w:jc w:val="both"/>
        <w:rPr>
          <w:rFonts w:ascii="Times New Roman" w:hAnsi="Times New Roman" w:cs="Times New Roman"/>
          <w:sz w:val="24"/>
          <w:szCs w:val="24"/>
          <w:lang w:val="bg"/>
        </w:rPr>
      </w:pPr>
      <w:bookmarkStart w:id="332" w:name="bookmark444"/>
      <w:r w:rsidRPr="001F1C12">
        <w:rPr>
          <w:rFonts w:ascii="Times New Roman" w:hAnsi="Times New Roman" w:cs="Times New Roman"/>
          <w:sz w:val="24"/>
          <w:szCs w:val="24"/>
          <w:lang w:val="bg"/>
        </w:rPr>
        <w:t>Автоматизация по отношение на актуализацията на операционната система и уведомленията</w:t>
      </w:r>
      <w:bookmarkEnd w:id="332"/>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lastRenderedPageBreak/>
        <w:t>Налично е приложение за автоматично актуализиране на сървърните програми, например чрез Debian</w:t>
      </w:r>
      <w:r w:rsidR="001F1C12">
        <w:rPr>
          <w:rFonts w:ascii="Times New Roman" w:hAnsi="Times New Roman" w:cs="Times New Roman"/>
          <w:sz w:val="24"/>
          <w:szCs w:val="24"/>
          <w:lang w:val="bg"/>
        </w:rPr>
        <w:t xml:space="preserve"> </w:t>
      </w:r>
      <w:hyperlink w:anchor="bookmark99" w:tooltip="Current Document">
        <w:r w:rsidRPr="007727EE">
          <w:rPr>
            <w:rStyle w:val="Hyperlink"/>
            <w:rFonts w:ascii="Times New Roman" w:hAnsi="Times New Roman" w:cs="Times New Roman"/>
            <w:sz w:val="24"/>
            <w:szCs w:val="24"/>
            <w:vertAlign w:val="superscript"/>
            <w:lang w:val="bg"/>
          </w:rPr>
          <w:footnoteReference w:id="93"/>
        </w:r>
      </w:hyperlink>
      <w:r w:rsidRPr="001F1C12">
        <w:rPr>
          <w:rFonts w:ascii="Times New Roman" w:hAnsi="Times New Roman" w:cs="Times New Roman"/>
          <w:sz w:val="24"/>
          <w:szCs w:val="24"/>
          <w:lang w:val="bg"/>
        </w:rPr>
        <w:t>. Уведомление за налични актуализации на операционната система — основни и пакети — може да бъде предоставено от приложения като Debian GNU Linux</w:t>
      </w:r>
      <w:r w:rsidR="001F1C12">
        <w:rPr>
          <w:rFonts w:ascii="Times New Roman" w:hAnsi="Times New Roman" w:cs="Times New Roman"/>
          <w:sz w:val="24"/>
          <w:szCs w:val="24"/>
          <w:lang w:val="bg"/>
        </w:rPr>
        <w:t xml:space="preserve"> </w:t>
      </w:r>
      <w:hyperlink w:anchor="bookmark100" w:tooltip="Current Document">
        <w:r w:rsidRPr="007727EE">
          <w:rPr>
            <w:rStyle w:val="Hyperlink"/>
            <w:rFonts w:ascii="Times New Roman" w:hAnsi="Times New Roman" w:cs="Times New Roman"/>
            <w:sz w:val="24"/>
            <w:szCs w:val="24"/>
            <w:vertAlign w:val="superscript"/>
            <w:lang w:val="bg"/>
          </w:rPr>
          <w:footnoteReference w:id="94"/>
        </w:r>
      </w:hyperlink>
      <w:r w:rsidRPr="001F1C12">
        <w:rPr>
          <w:rFonts w:ascii="Times New Roman" w:hAnsi="Times New Roman" w:cs="Times New Roman"/>
          <w:sz w:val="24"/>
          <w:szCs w:val="24"/>
          <w:lang w:val="bg"/>
        </w:rPr>
        <w:t>.</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Периодична актуализация на ядрото и модулите на CMS, на които се основава регистърът</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CMS базираните на отворен код (както и всички останали) са постоянно разработвани и тествани от общностите, работещи по проекта. На разположение е и постоянен поток от уведомления за проблеми, решения и корекции. Периодичната актуализация гарантира сигурността и бъдещето на проекта. Преди актуализирането на платформата трябва да се направи резервно копие на CMS по отношение на файловата система и базата данни, за да се избегне възникването на проблем в процеса на актуализиране и евентуалното възстановяване на системата. Добра практика е да имаме копие от платформата, работещо зад друго име на домейн на същия или друг хост (сървър), на което можем да тестваме актуализираната преди да ги приложим към основния сайт (регистър), версия. Препоръчително е да актуализирате системата по време на по-малко натовареното време и платформата може да бъде настроена в режим на разработка. По този начин ще избегнем загуба на информация. Най-добрият сценарий е да не се затруднява работата на регистъра, така че би било по-добре системата да се актуализира в най-кратък срок. Уеб платформата трябва да има възможност да уведомява администратора за всички налични актуализации и ако е възможно, някои от тях да се прилагат автоматично или по-добре ръчно под негов контрол.</w:t>
      </w:r>
    </w:p>
    <w:p w:rsidR="007906A8" w:rsidRPr="001F1C12" w:rsidRDefault="007906A8" w:rsidP="007906A8">
      <w:pPr>
        <w:rPr>
          <w:rFonts w:ascii="Times New Roman" w:hAnsi="Times New Roman" w:cs="Times New Roman"/>
          <w:color w:val="24B1C0"/>
          <w:sz w:val="24"/>
          <w:szCs w:val="24"/>
          <w:lang w:val="bg"/>
        </w:rPr>
      </w:pPr>
      <w:bookmarkStart w:id="335" w:name="bookmark446"/>
      <w:r w:rsidRPr="001F1C12">
        <w:rPr>
          <w:rFonts w:ascii="Times New Roman" w:hAnsi="Times New Roman" w:cs="Times New Roman"/>
          <w:color w:val="24B1C0"/>
          <w:sz w:val="24"/>
          <w:szCs w:val="24"/>
          <w:lang w:val="bg"/>
        </w:rPr>
        <w:t>Пасивни и активни отбранителни техники (IDS и др.)</w:t>
      </w:r>
      <w:bookmarkEnd w:id="335"/>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Уеб базираната платформа трябва да предоставя функции като:</w:t>
      </w:r>
    </w:p>
    <w:p w:rsidR="00A735FC" w:rsidRDefault="007906A8" w:rsidP="00B01311">
      <w:pPr>
        <w:pStyle w:val="ListParagraph"/>
        <w:numPr>
          <w:ilvl w:val="0"/>
          <w:numId w:val="138"/>
        </w:numPr>
        <w:jc w:val="both"/>
        <w:rPr>
          <w:rFonts w:ascii="Times New Roman" w:hAnsi="Times New Roman" w:cs="Times New Roman"/>
          <w:sz w:val="24"/>
          <w:szCs w:val="24"/>
          <w:lang w:val="bg"/>
        </w:rPr>
      </w:pPr>
      <w:r w:rsidRPr="001F1C12">
        <w:rPr>
          <w:rFonts w:ascii="Times New Roman" w:hAnsi="Times New Roman" w:cs="Times New Roman"/>
          <w:sz w:val="24"/>
          <w:szCs w:val="24"/>
          <w:lang w:val="bg"/>
        </w:rPr>
        <w:t>Блокиране на потребител в случай на неразрешен достъп</w:t>
      </w:r>
    </w:p>
    <w:p w:rsidR="00A735FC" w:rsidRDefault="007906A8" w:rsidP="00B01311">
      <w:pPr>
        <w:pStyle w:val="ListParagraph"/>
        <w:numPr>
          <w:ilvl w:val="0"/>
          <w:numId w:val="138"/>
        </w:numPr>
        <w:jc w:val="both"/>
        <w:rPr>
          <w:rFonts w:ascii="Times New Roman" w:hAnsi="Times New Roman" w:cs="Times New Roman"/>
          <w:sz w:val="24"/>
          <w:szCs w:val="24"/>
          <w:lang w:val="bg"/>
        </w:rPr>
      </w:pPr>
      <w:r w:rsidRPr="00A735FC">
        <w:rPr>
          <w:rFonts w:ascii="Times New Roman" w:hAnsi="Times New Roman" w:cs="Times New Roman"/>
          <w:sz w:val="24"/>
          <w:szCs w:val="24"/>
          <w:lang w:val="bg"/>
        </w:rPr>
        <w:t>Проверка дали попълненият формуляр е изпратен от човек или програма (например с помощта на Captcha), като се прилагат други методи, за да се проверят правилно данните в полето</w:t>
      </w:r>
    </w:p>
    <w:p w:rsidR="00A735FC" w:rsidRDefault="007906A8" w:rsidP="00B01311">
      <w:pPr>
        <w:pStyle w:val="ListParagraph"/>
        <w:numPr>
          <w:ilvl w:val="0"/>
          <w:numId w:val="138"/>
        </w:numPr>
        <w:jc w:val="both"/>
        <w:rPr>
          <w:rFonts w:ascii="Times New Roman" w:hAnsi="Times New Roman" w:cs="Times New Roman"/>
          <w:sz w:val="24"/>
          <w:szCs w:val="24"/>
          <w:lang w:val="bg"/>
        </w:rPr>
      </w:pPr>
      <w:r w:rsidRPr="00A735FC">
        <w:rPr>
          <w:rFonts w:ascii="Times New Roman" w:hAnsi="Times New Roman" w:cs="Times New Roman"/>
          <w:sz w:val="24"/>
          <w:szCs w:val="24"/>
          <w:lang w:val="bg"/>
        </w:rPr>
        <w:t>Уведомяване на администратора в случай на неразрешен достъп</w:t>
      </w:r>
    </w:p>
    <w:p w:rsidR="007906A8" w:rsidRPr="00A735FC" w:rsidRDefault="007906A8" w:rsidP="00B01311">
      <w:pPr>
        <w:pStyle w:val="ListParagraph"/>
        <w:numPr>
          <w:ilvl w:val="0"/>
          <w:numId w:val="138"/>
        </w:numPr>
        <w:jc w:val="both"/>
        <w:rPr>
          <w:rFonts w:ascii="Times New Roman" w:hAnsi="Times New Roman" w:cs="Times New Roman"/>
          <w:sz w:val="24"/>
          <w:szCs w:val="24"/>
          <w:lang w:val="bg"/>
        </w:rPr>
      </w:pPr>
      <w:r w:rsidRPr="00A735FC">
        <w:rPr>
          <w:rFonts w:ascii="Times New Roman" w:hAnsi="Times New Roman" w:cs="Times New Roman"/>
          <w:sz w:val="24"/>
          <w:szCs w:val="24"/>
          <w:lang w:val="bg"/>
        </w:rPr>
        <w:t>Активно блокиране на потребители (или ботове), които правят неоторизирани заявки или търсят възможни уязвимости на приложението.</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Някои от тези решения могат да се прилагат на ниво сървър, като например инсталирането на Fail2ban</w:t>
      </w:r>
      <w:hyperlink w:anchor="bookmark101" w:tooltip="Current Document">
        <w:r w:rsidRPr="001F1C12">
          <w:rPr>
            <w:rStyle w:val="Hyperlink"/>
            <w:rFonts w:ascii="Times New Roman" w:hAnsi="Times New Roman" w:cs="Times New Roman"/>
            <w:sz w:val="24"/>
            <w:szCs w:val="24"/>
            <w:vertAlign w:val="superscript"/>
            <w:lang w:val="bg"/>
          </w:rPr>
          <w:t>107</w:t>
        </w:r>
      </w:hyperlink>
      <w:r w:rsidRPr="001F1C12">
        <w:rPr>
          <w:rFonts w:ascii="Times New Roman" w:hAnsi="Times New Roman" w:cs="Times New Roman"/>
          <w:sz w:val="24"/>
          <w:szCs w:val="24"/>
          <w:lang w:val="bg"/>
        </w:rPr>
        <w:t xml:space="preserve"> и OSSEC</w:t>
      </w:r>
      <w:hyperlink w:anchor="bookmark102" w:tooltip="Current Document">
        <w:r w:rsidRPr="007727EE">
          <w:rPr>
            <w:rStyle w:val="Hyperlink"/>
            <w:rFonts w:ascii="Times New Roman" w:hAnsi="Times New Roman" w:cs="Times New Roman"/>
            <w:sz w:val="24"/>
            <w:szCs w:val="24"/>
            <w:vertAlign w:val="superscript"/>
            <w:lang w:val="bg"/>
          </w:rPr>
          <w:footnoteReference w:id="95"/>
        </w:r>
      </w:hyperlink>
      <w:r w:rsidRPr="007727EE">
        <w:rPr>
          <w:rFonts w:ascii="Times New Roman" w:hAnsi="Times New Roman" w:cs="Times New Roman"/>
          <w:sz w:val="24"/>
          <w:szCs w:val="24"/>
          <w:vertAlign w:val="superscript"/>
          <w:lang w:val="bg"/>
        </w:rPr>
        <w:t>.</w:t>
      </w:r>
      <w:r w:rsidRPr="001F1C12">
        <w:rPr>
          <w:rFonts w:ascii="Times New Roman" w:hAnsi="Times New Roman" w:cs="Times New Roman"/>
          <w:sz w:val="24"/>
          <w:szCs w:val="24"/>
          <w:lang w:val="bg"/>
        </w:rPr>
        <w:t xml:space="preserve"> OSSEC</w:t>
      </w:r>
      <w:hyperlink w:anchor="bookmark103" w:tooltip="Current Document">
        <w:r w:rsidRPr="007727EE">
          <w:rPr>
            <w:rStyle w:val="Hyperlink"/>
            <w:rFonts w:ascii="Times New Roman" w:hAnsi="Times New Roman" w:cs="Times New Roman"/>
            <w:sz w:val="24"/>
            <w:szCs w:val="24"/>
            <w:vertAlign w:val="superscript"/>
            <w:lang w:val="bg"/>
          </w:rPr>
          <w:footnoteReference w:id="96"/>
        </w:r>
      </w:hyperlink>
      <w:r w:rsidRPr="007727EE">
        <w:rPr>
          <w:rFonts w:ascii="Times New Roman" w:hAnsi="Times New Roman" w:cs="Times New Roman"/>
          <w:sz w:val="24"/>
          <w:szCs w:val="24"/>
          <w:vertAlign w:val="superscript"/>
          <w:lang w:val="bg"/>
        </w:rPr>
        <w:t>.</w:t>
      </w:r>
    </w:p>
    <w:p w:rsidR="007906A8" w:rsidRPr="001F1C12" w:rsidRDefault="007906A8" w:rsidP="007906A8">
      <w:pPr>
        <w:rPr>
          <w:rFonts w:ascii="Times New Roman" w:hAnsi="Times New Roman" w:cs="Times New Roman"/>
          <w:color w:val="24B9C0"/>
          <w:sz w:val="24"/>
          <w:szCs w:val="24"/>
          <w:lang w:val="bg"/>
        </w:rPr>
      </w:pPr>
      <w:r w:rsidRPr="001F1C12">
        <w:rPr>
          <w:rFonts w:ascii="Times New Roman" w:hAnsi="Times New Roman" w:cs="Times New Roman"/>
          <w:color w:val="24B9C0"/>
          <w:sz w:val="24"/>
          <w:szCs w:val="24"/>
          <w:lang w:val="bg"/>
        </w:rPr>
        <w:t>Проверка на сървъра за наличие на злонамерен софтуер</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На сървъра може да се инсталира антивирусно приложение, за да се проверят качените файлове за злонамерен софтуер. Пример с отворен код може да се счита за ClamAV</w:t>
      </w:r>
      <w:r w:rsidR="001F1C12">
        <w:rPr>
          <w:rFonts w:ascii="Times New Roman" w:hAnsi="Times New Roman" w:cs="Times New Roman"/>
          <w:sz w:val="24"/>
          <w:szCs w:val="24"/>
          <w:lang w:val="bg"/>
        </w:rPr>
        <w:t xml:space="preserve"> </w:t>
      </w:r>
      <w:hyperlink w:anchor="bookmark104" w:tooltip="Current Document">
        <w:r w:rsidRPr="007727EE">
          <w:rPr>
            <w:rStyle w:val="Hyperlink"/>
            <w:rFonts w:ascii="Times New Roman" w:hAnsi="Times New Roman" w:cs="Times New Roman"/>
            <w:sz w:val="24"/>
            <w:szCs w:val="24"/>
            <w:vertAlign w:val="superscript"/>
            <w:lang w:val="bg"/>
          </w:rPr>
          <w:footnoteReference w:id="97"/>
        </w:r>
      </w:hyperlink>
      <w:r w:rsidRPr="007727EE">
        <w:rPr>
          <w:rFonts w:ascii="Times New Roman" w:hAnsi="Times New Roman" w:cs="Times New Roman"/>
          <w:sz w:val="24"/>
          <w:szCs w:val="24"/>
          <w:vertAlign w:val="superscript"/>
          <w:lang w:val="bg"/>
        </w:rPr>
        <w:t>.</w:t>
      </w:r>
      <w:hyperlink r:id="rId53" w:history="1">
        <w:r w:rsidRPr="007727EE">
          <w:rPr>
            <w:rStyle w:val="Hyperlink"/>
            <w:rFonts w:ascii="Times New Roman" w:hAnsi="Times New Roman" w:cs="Times New Roman"/>
            <w:sz w:val="24"/>
            <w:szCs w:val="24"/>
            <w:vertAlign w:val="superscript"/>
            <w:lang w:val="bg"/>
          </w:rPr>
          <w:t xml:space="preserve"> </w:t>
        </w:r>
      </w:hyperlink>
      <w:r w:rsidRPr="001F1C12">
        <w:rPr>
          <w:rFonts w:ascii="Times New Roman" w:hAnsi="Times New Roman" w:cs="Times New Roman"/>
          <w:sz w:val="24"/>
          <w:szCs w:val="24"/>
          <w:lang w:val="bg"/>
        </w:rPr>
        <w:t xml:space="preserve">Антивирусното приложение трябва да бъде конфигурирано да актуализира автоматично своята база данни и определенията за зловреден софтуер, ако е възможно. Администраторът на сървъра може периодично да проверява папката с публично качените файлове за наличие </w:t>
      </w:r>
      <w:r w:rsidRPr="001F1C12">
        <w:rPr>
          <w:rFonts w:ascii="Times New Roman" w:hAnsi="Times New Roman" w:cs="Times New Roman"/>
          <w:sz w:val="24"/>
          <w:szCs w:val="24"/>
          <w:lang w:val="bg"/>
        </w:rPr>
        <w:lastRenderedPageBreak/>
        <w:t>на злонамерен софтуер и изпълними такива. Изпълнението на скриптове в публичните папки, до които потребителите имат достъп, трябва да бъде забранено.</w:t>
      </w:r>
    </w:p>
    <w:p w:rsidR="007906A8" w:rsidRPr="001F1C12" w:rsidRDefault="007906A8" w:rsidP="001F1C12">
      <w:pPr>
        <w:spacing w:line="276" w:lineRule="auto"/>
        <w:jc w:val="both"/>
        <w:rPr>
          <w:rFonts w:ascii="Times New Roman" w:hAnsi="Times New Roman" w:cs="Times New Roman"/>
          <w:color w:val="24B1C0"/>
          <w:sz w:val="24"/>
          <w:szCs w:val="24"/>
          <w:lang w:val="bg"/>
        </w:rPr>
      </w:pPr>
      <w:bookmarkStart w:id="338" w:name="bookmark448"/>
      <w:r w:rsidRPr="001F1C12">
        <w:rPr>
          <w:rFonts w:ascii="Times New Roman" w:hAnsi="Times New Roman" w:cs="Times New Roman"/>
          <w:color w:val="24B1C0"/>
          <w:sz w:val="24"/>
          <w:szCs w:val="24"/>
          <w:lang w:val="bg"/>
        </w:rPr>
        <w:t>Предотвратяване на неподходящо качване на файлове от потребители</w:t>
      </w:r>
      <w:bookmarkEnd w:id="338"/>
    </w:p>
    <w:p w:rsidR="007906A8" w:rsidRPr="001F1C12" w:rsidRDefault="007906A8" w:rsidP="007906A8">
      <w:pPr>
        <w:rPr>
          <w:rFonts w:ascii="Times New Roman" w:hAnsi="Times New Roman" w:cs="Times New Roman"/>
          <w:sz w:val="24"/>
          <w:szCs w:val="24"/>
          <w:lang w:val="bg"/>
        </w:rPr>
      </w:pPr>
      <w:r w:rsidRPr="001F1C12">
        <w:rPr>
          <w:rFonts w:ascii="Times New Roman" w:hAnsi="Times New Roman" w:cs="Times New Roman"/>
          <w:sz w:val="24"/>
          <w:szCs w:val="24"/>
          <w:lang w:val="bg"/>
        </w:rPr>
        <w:t>Потребителите на платформата трябва да имат права за качване на файлове в определени файлови формати (като pdf, doc, docx, ods, odt, jpeg, jpg, png). Те не трябва да могат да качват изпълними файлове и архиви (по отношение на последните, ако не са предварително сканирани за вируси), както и системни файлове.</w:t>
      </w:r>
    </w:p>
    <w:p w:rsidR="007906A8" w:rsidRPr="001F1C12" w:rsidRDefault="007906A8" w:rsidP="001F1C12">
      <w:pPr>
        <w:spacing w:line="276" w:lineRule="auto"/>
        <w:jc w:val="both"/>
        <w:rPr>
          <w:rFonts w:ascii="Times New Roman" w:hAnsi="Times New Roman" w:cs="Times New Roman"/>
          <w:color w:val="24B9C0"/>
          <w:sz w:val="24"/>
          <w:szCs w:val="24"/>
          <w:lang w:val="bg"/>
        </w:rPr>
      </w:pPr>
      <w:bookmarkStart w:id="339" w:name="bookmark450"/>
      <w:r w:rsidRPr="001F1C12">
        <w:rPr>
          <w:rFonts w:ascii="Times New Roman" w:hAnsi="Times New Roman" w:cs="Times New Roman"/>
          <w:color w:val="24B9C0"/>
          <w:sz w:val="24"/>
          <w:szCs w:val="24"/>
          <w:lang w:val="bg"/>
        </w:rPr>
        <w:t>Предотвратяване по отношение на текста (формат за въвеждане на контролния флакон)</w:t>
      </w:r>
      <w:bookmarkEnd w:id="339"/>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При създаването на текст в текстовите полета на сайта трябва да се прилагат филтри, които ограничават текстовия формат до обикновен текст, като текстът използва предварително определени HTML тагове (като подчертаване, хипервръзки и т.н.). Забранява се използването на Java Script, PHP и какъвто и да е скриптов език в текстовите полета, който може да се отрази в нарушаване на сигурността и липса на функционалност. Поставянето на iframe, обслужващо съдържание от трета страна, от неупълномощени потребители, се забранява само ако iframe не обслужва данни от доверен партньор и се поставя от администратора на сайта.</w:t>
      </w:r>
    </w:p>
    <w:p w:rsidR="007906A8" w:rsidRPr="001F1C12" w:rsidRDefault="007906A8" w:rsidP="001F1C12">
      <w:pPr>
        <w:spacing w:line="276" w:lineRule="auto"/>
        <w:jc w:val="both"/>
        <w:rPr>
          <w:rFonts w:ascii="Times New Roman" w:hAnsi="Times New Roman" w:cs="Times New Roman"/>
          <w:color w:val="24B1C0"/>
          <w:sz w:val="24"/>
          <w:szCs w:val="24"/>
          <w:lang w:val="bg"/>
        </w:rPr>
      </w:pPr>
      <w:bookmarkStart w:id="340" w:name="bookmark452"/>
      <w:r w:rsidRPr="001F1C12">
        <w:rPr>
          <w:rFonts w:ascii="Times New Roman" w:hAnsi="Times New Roman" w:cs="Times New Roman"/>
          <w:color w:val="24B1C0"/>
          <w:sz w:val="24"/>
          <w:szCs w:val="24"/>
          <w:lang w:val="bg"/>
        </w:rPr>
        <w:t>Регистър на потребителите на системата и наблюдение на активността на потребителите</w:t>
      </w:r>
      <w:bookmarkEnd w:id="340"/>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Освен регистрационния файл, работещ на сървъра, трябва да се внедри и регистрационен файл, който да предоставя отчети за дейностите на потребителите, като например:</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IP адрес, от който се осъществява достъп до регистъра</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Час и дата на достъп</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Потребител, който е открил сесията</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Редактиране и запазване на данни</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Софтуерни грешки по време на процеса</w:t>
      </w:r>
    </w:p>
    <w:p w:rsid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Отказан достъп</w:t>
      </w:r>
    </w:p>
    <w:p w:rsidR="007906A8" w:rsidRPr="001F1C12" w:rsidRDefault="007906A8" w:rsidP="00B01311">
      <w:pPr>
        <w:pStyle w:val="ListParagraph"/>
        <w:numPr>
          <w:ilvl w:val="0"/>
          <w:numId w:val="139"/>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Страницата не е намерена и т.н.</w:t>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Целта на използването на дневник е да се даде възможност на системния администратор да провери състоянието на системите и да получи доклади за определен период от време, отнасящи се до посочените по-горе дейности.</w:t>
      </w:r>
    </w:p>
    <w:p w:rsidR="007906A8" w:rsidRPr="001F1C12" w:rsidRDefault="007906A8" w:rsidP="001F1C12">
      <w:pPr>
        <w:jc w:val="both"/>
        <w:rPr>
          <w:rFonts w:ascii="Times New Roman" w:hAnsi="Times New Roman" w:cs="Times New Roman"/>
          <w:color w:val="24B1C0"/>
          <w:sz w:val="24"/>
          <w:szCs w:val="24"/>
          <w:lang w:val="bg"/>
        </w:rPr>
      </w:pPr>
      <w:bookmarkStart w:id="341" w:name="bookmark454"/>
      <w:r w:rsidRPr="001F1C12">
        <w:rPr>
          <w:rFonts w:ascii="Times New Roman" w:hAnsi="Times New Roman" w:cs="Times New Roman"/>
          <w:color w:val="24B1C0"/>
          <w:sz w:val="24"/>
          <w:szCs w:val="24"/>
          <w:lang w:val="bg"/>
        </w:rPr>
        <w:t>Блокиране на потребител</w:t>
      </w:r>
      <w:bookmarkEnd w:id="341"/>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 xml:space="preserve">В случай, че определени интернет потребители, които не са част от REC, се опитат да влязат, системата трябва да ги блокира автоматично за определен период от време. Автоматичната забрана на потребителите може да бъде задействана след определен брой неуспешни опити. Да информира потребителя, както и администратора, и да блокира IP адреса на потребителите за определен период от време (или за постоянно). В зависимост от изгледите на администратора и според докладите на регистрационния файл някои IP адреси могат да бъдат блокирани, когато бъдат потвърдени, че от тях има множество опити за неразрешен достъп. Това може да се третира като атака на груба сила. Потребителите на платформата могат да бъдат блокирани, в случай че направят няколко опита за достъп до REC с грешна парола или са променили своя имейл адрес за възстановяване / нулиране. В този случай те </w:t>
      </w:r>
      <w:r w:rsidRPr="001F1C12">
        <w:rPr>
          <w:rFonts w:ascii="Times New Roman" w:hAnsi="Times New Roman" w:cs="Times New Roman"/>
          <w:sz w:val="24"/>
          <w:szCs w:val="24"/>
          <w:lang w:val="bg"/>
        </w:rPr>
        <w:lastRenderedPageBreak/>
        <w:t>трябва да се обърнат към администратора на сайта (юридическо лице), за да актуализират своите идентификационни данни/данни и да им бъде предоставен достъп. Блокираният потребител не може да използва системата, за да промени данните си. Не е отбелязано, че REC служи на публичния профил на ЕО, с който е свързан.</w:t>
      </w:r>
    </w:p>
    <w:p w:rsidR="007906A8" w:rsidRPr="001F1C12" w:rsidRDefault="007906A8" w:rsidP="001F1C12">
      <w:pPr>
        <w:spacing w:line="276" w:lineRule="auto"/>
        <w:jc w:val="both"/>
        <w:rPr>
          <w:rFonts w:ascii="Times New Roman" w:hAnsi="Times New Roman" w:cs="Times New Roman"/>
          <w:color w:val="24B9C0"/>
          <w:sz w:val="24"/>
          <w:szCs w:val="24"/>
          <w:lang w:val="bg"/>
        </w:rPr>
      </w:pPr>
      <w:bookmarkStart w:id="342" w:name="bookmark456"/>
      <w:r w:rsidRPr="001F1C12">
        <w:rPr>
          <w:rFonts w:ascii="Times New Roman" w:hAnsi="Times New Roman" w:cs="Times New Roman"/>
          <w:color w:val="24B9C0"/>
          <w:sz w:val="24"/>
          <w:szCs w:val="24"/>
          <w:lang w:val="bg"/>
        </w:rPr>
        <w:t>Време за съхраняване на информацията в регистъра</w:t>
      </w:r>
      <w:bookmarkEnd w:id="342"/>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Воденето на данните в регистъра, без актуализирането му, е въпрос на подход на субекта, който го администрира. Възможно решение е регистърът да се актуализира ежегодно и/или при всяка промяна на неговия потребител. Членовете на регистъра трябва да имат достъп да променят своята публична информация, за да се гарантира, че информацията е актуална. В случай на правен проблем, водещ или до преобразуването на енергийната общност, или до нейното затваряне, администраторът на обекта решава колко дълго да запази информацията за енергийната общност в системата, в съответствие с политиката на субекта, който я поддържа. Наличието на неполезна информация претоварва базата данни.</w:t>
      </w:r>
    </w:p>
    <w:p w:rsidR="007906A8" w:rsidRPr="001F1C12" w:rsidRDefault="007906A8" w:rsidP="001F1C12">
      <w:pPr>
        <w:spacing w:line="276" w:lineRule="auto"/>
        <w:jc w:val="both"/>
        <w:rPr>
          <w:rFonts w:ascii="Times New Roman" w:hAnsi="Times New Roman" w:cs="Times New Roman"/>
          <w:color w:val="24B1C0"/>
          <w:sz w:val="24"/>
          <w:szCs w:val="24"/>
          <w:lang w:val="bg"/>
        </w:rPr>
      </w:pPr>
      <w:bookmarkStart w:id="343" w:name="bookmark458"/>
      <w:r w:rsidRPr="001F1C12">
        <w:rPr>
          <w:rFonts w:ascii="Times New Roman" w:hAnsi="Times New Roman" w:cs="Times New Roman"/>
          <w:color w:val="24B1C0"/>
          <w:sz w:val="24"/>
          <w:szCs w:val="24"/>
          <w:lang w:val="bg"/>
        </w:rPr>
        <w:t>Избягване на претоварване на сървъра и подобряване на скоростта</w:t>
      </w:r>
      <w:bookmarkEnd w:id="343"/>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Скоростта на обслужване на данните и оптималното използване на сървърните ресурси са от решаващо значение за сигурността на всяко уеб базирано приложение. По този начин тя остава достъпна, обслужва информацията по-бързо и кешира вече отправените искания. За да се увеличи скоростта на сървъра, използван за хостинг на REC, препоръчваме използването на някои програми, които кешират съдържанието, свързано с уеб приложението и които комуникират с него. Възможните решения са Varnish</w:t>
      </w:r>
      <w:r w:rsidR="001F1C12" w:rsidRPr="001F1C12">
        <w:rPr>
          <w:rFonts w:ascii="Times New Roman" w:hAnsi="Times New Roman" w:cs="Times New Roman"/>
          <w:sz w:val="24"/>
          <w:szCs w:val="24"/>
          <w:lang w:val="bg"/>
        </w:rPr>
        <w:t xml:space="preserve"> </w:t>
      </w:r>
      <w:hyperlink w:anchor="bookmark105" w:tooltip="Current Document">
        <w:r w:rsidRPr="007727EE">
          <w:rPr>
            <w:rStyle w:val="Hyperlink"/>
            <w:rFonts w:ascii="Times New Roman" w:hAnsi="Times New Roman" w:cs="Times New Roman"/>
            <w:sz w:val="24"/>
            <w:szCs w:val="24"/>
            <w:vertAlign w:val="superscript"/>
            <w:lang w:val="bg"/>
          </w:rPr>
          <w:footnoteReference w:id="98"/>
        </w:r>
      </w:hyperlink>
      <w:r w:rsidRPr="007727EE">
        <w:rPr>
          <w:rFonts w:ascii="Times New Roman" w:hAnsi="Times New Roman" w:cs="Times New Roman"/>
          <w:sz w:val="24"/>
          <w:szCs w:val="24"/>
          <w:vertAlign w:val="superscript"/>
          <w:lang w:val="bg"/>
        </w:rPr>
        <w:t>,</w:t>
      </w:r>
      <w:r w:rsidRPr="001F1C12">
        <w:rPr>
          <w:rFonts w:ascii="Times New Roman" w:hAnsi="Times New Roman" w:cs="Times New Roman"/>
          <w:sz w:val="24"/>
          <w:szCs w:val="24"/>
          <w:lang w:val="bg"/>
        </w:rPr>
        <w:t xml:space="preserve"> който може да бъде конфигуриран да получава входящи заявки по защитения HTTPS протокол, да ги обработва и да ги изпраща обратно на уеб сървъра. Конфигурацията на лака заедно със SSL може да бъде предизвикателство, но има уроци за обясняване на темата</w:t>
      </w:r>
      <w:r w:rsidR="001F1C12" w:rsidRPr="001F1C12">
        <w:rPr>
          <w:rFonts w:ascii="Times New Roman" w:hAnsi="Times New Roman" w:cs="Times New Roman"/>
          <w:sz w:val="24"/>
          <w:szCs w:val="24"/>
          <w:lang w:val="bg"/>
        </w:rPr>
        <w:t xml:space="preserve"> </w:t>
      </w:r>
      <w:hyperlink w:anchor="bookmark106" w:tooltip="Current Document">
        <w:r w:rsidRPr="007727EE">
          <w:rPr>
            <w:rStyle w:val="Hyperlink"/>
            <w:rFonts w:ascii="Times New Roman" w:hAnsi="Times New Roman" w:cs="Times New Roman"/>
            <w:sz w:val="24"/>
            <w:szCs w:val="24"/>
            <w:vertAlign w:val="superscript"/>
            <w:lang w:val="bg"/>
          </w:rPr>
          <w:footnoteReference w:id="99"/>
        </w:r>
      </w:hyperlink>
      <w:r w:rsidRPr="001F1C12">
        <w:rPr>
          <w:rFonts w:ascii="Times New Roman" w:hAnsi="Times New Roman" w:cs="Times New Roman"/>
          <w:sz w:val="24"/>
          <w:szCs w:val="24"/>
          <w:lang w:val="bg"/>
        </w:rPr>
        <w:t>. За да кеширате базата данни, може да използвате Memcached</w:t>
      </w:r>
      <w:r w:rsidR="001F1C12" w:rsidRPr="001F1C12">
        <w:rPr>
          <w:rFonts w:ascii="Times New Roman" w:hAnsi="Times New Roman" w:cs="Times New Roman"/>
          <w:sz w:val="24"/>
          <w:szCs w:val="24"/>
          <w:lang w:val="bg"/>
        </w:rPr>
        <w:t xml:space="preserve"> </w:t>
      </w:r>
      <w:hyperlink w:anchor="bookmark107" w:tooltip="Current Document">
        <w:r w:rsidRPr="007727EE">
          <w:rPr>
            <w:rStyle w:val="Hyperlink"/>
            <w:rFonts w:ascii="Times New Roman" w:hAnsi="Times New Roman" w:cs="Times New Roman"/>
            <w:sz w:val="24"/>
            <w:szCs w:val="24"/>
            <w:vertAlign w:val="superscript"/>
            <w:lang w:val="bg"/>
          </w:rPr>
          <w:footnoteReference w:id="100"/>
        </w:r>
      </w:hyperlink>
      <w:r w:rsidRPr="007727EE">
        <w:rPr>
          <w:rFonts w:ascii="Times New Roman" w:hAnsi="Times New Roman" w:cs="Times New Roman"/>
          <w:sz w:val="24"/>
          <w:szCs w:val="24"/>
          <w:vertAlign w:val="superscript"/>
          <w:lang w:val="bg"/>
        </w:rPr>
        <w:t>,</w:t>
      </w:r>
      <w:r w:rsidRPr="001F1C12">
        <w:rPr>
          <w:rFonts w:ascii="Times New Roman" w:hAnsi="Times New Roman" w:cs="Times New Roman"/>
          <w:sz w:val="24"/>
          <w:szCs w:val="24"/>
          <w:lang w:val="bg"/>
        </w:rPr>
        <w:t xml:space="preserve"> наличен за по-голямата част от операционната система като пакет, който може лесно да бъде инсталиран и конфигуриран. Друго приложение за кеширане е Redis</w:t>
      </w:r>
      <w:hyperlink w:anchor="bookmark462" w:tooltip="Current Document">
        <w:r w:rsidRPr="001F1C12">
          <w:rPr>
            <w:rStyle w:val="Hyperlink"/>
            <w:rFonts w:ascii="Times New Roman" w:hAnsi="Times New Roman" w:cs="Times New Roman"/>
            <w:sz w:val="24"/>
            <w:szCs w:val="24"/>
            <w:vertAlign w:val="superscript"/>
            <w:lang w:val="bg"/>
          </w:rPr>
          <w:t>114</w:t>
        </w:r>
      </w:hyperlink>
      <w:hyperlink w:anchor="bookmark463" w:tooltip="Current Document">
        <w:r w:rsidRPr="001F1C12">
          <w:rPr>
            <w:rStyle w:val="Hyperlink"/>
            <w:rFonts w:ascii="Times New Roman" w:hAnsi="Times New Roman" w:cs="Times New Roman"/>
            <w:sz w:val="24"/>
            <w:szCs w:val="24"/>
            <w:vertAlign w:val="superscript"/>
            <w:lang w:val="bg"/>
          </w:rPr>
          <w:t>115</w:t>
        </w:r>
      </w:hyperlink>
      <w:r w:rsidRPr="001F1C12">
        <w:rPr>
          <w:rFonts w:ascii="Times New Roman" w:hAnsi="Times New Roman" w:cs="Times New Roman"/>
          <w:sz w:val="24"/>
          <w:szCs w:val="24"/>
          <w:lang w:val="bg"/>
        </w:rPr>
        <w:t>, отново на разположение като OS пакет. Конфигурацията на Redis отново е малко сложна и се нуждае от внимание, докато в случай на недостатъчност на паметта и конкретни настройки уеб приложението може да спре да работи. Всички приложения за кеширане, с изключение на Varnish, които трябва публично да слушат HTTP порт, трябва да слушат и обработват заявки от вътрешния сървър или интранет адреса на субекта, за да се осигури сигурност.</w:t>
      </w:r>
    </w:p>
    <w:p w:rsidR="007906A8" w:rsidRPr="001F1C12" w:rsidRDefault="007906A8" w:rsidP="001F1C12">
      <w:pPr>
        <w:spacing w:line="276" w:lineRule="auto"/>
        <w:jc w:val="both"/>
        <w:rPr>
          <w:rFonts w:ascii="Times New Roman" w:hAnsi="Times New Roman" w:cs="Times New Roman"/>
          <w:sz w:val="24"/>
          <w:szCs w:val="24"/>
          <w:lang w:val="bg"/>
        </w:rPr>
      </w:pPr>
      <w:bookmarkStart w:id="347" w:name="bookmark460"/>
      <w:r w:rsidRPr="001F1C12">
        <w:rPr>
          <w:rFonts w:ascii="Times New Roman" w:hAnsi="Times New Roman" w:cs="Times New Roman"/>
          <w:sz w:val="24"/>
          <w:szCs w:val="24"/>
          <w:lang w:val="bg"/>
        </w:rPr>
        <w:t>Информиране на потребителите за използването на технологии за наблюдение като бисквитки и обработка на лични данни</w:t>
      </w:r>
      <w:bookmarkEnd w:id="347"/>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Потребителите следва да бъдат информирани най-малко за следното:</w:t>
      </w:r>
    </w:p>
    <w:p w:rsid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Технологии като "бисквитките" се използват, за да следят сесията</w:t>
      </w:r>
    </w:p>
    <w:p w:rsid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Използване на допълнителни приложения, свързани със събирането на статистически данни, които биха могли да работят по REC</w:t>
      </w:r>
    </w:p>
    <w:p w:rsid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Начинът, по който техните лични данни се обработват и съхраняват</w:t>
      </w:r>
    </w:p>
    <w:p w:rsid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lastRenderedPageBreak/>
        <w:t>Да спазват общите условия и политиката за личните данни при използване на регистъра или при кандидатстване за членство</w:t>
      </w:r>
    </w:p>
    <w:p w:rsid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Неподходящ достъп до сайта (забравена парола, почивни опити за влизане, блокиране на IP адреса на потребителите и т.н.)</w:t>
      </w:r>
    </w:p>
    <w:p w:rsidR="007906A8" w:rsidRPr="001F1C12" w:rsidRDefault="007906A8" w:rsidP="00B01311">
      <w:pPr>
        <w:pStyle w:val="ListParagraph"/>
        <w:numPr>
          <w:ilvl w:val="0"/>
          <w:numId w:val="140"/>
        </w:num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Профилът на потребителя е личен и свързан с ЕК, която той представлява, и неговите идентификационни данни не трябва да се споделят с трети страни</w:t>
      </w:r>
    </w:p>
    <w:p w:rsidR="007906A8" w:rsidRPr="001F1C12" w:rsidRDefault="00A84C49" w:rsidP="001F1C12">
      <w:pPr>
        <w:spacing w:line="276" w:lineRule="auto"/>
        <w:jc w:val="both"/>
        <w:rPr>
          <w:rFonts w:ascii="Times New Roman" w:hAnsi="Times New Roman" w:cs="Times New Roman"/>
          <w:color w:val="24B1C0"/>
          <w:sz w:val="24"/>
          <w:szCs w:val="24"/>
          <w:lang w:val="bg"/>
        </w:rPr>
      </w:pPr>
      <w:r>
        <w:rPr>
          <w:rStyle w:val="FootnoteReference"/>
          <w:rFonts w:ascii="Times New Roman" w:hAnsi="Times New Roman" w:cs="Times New Roman"/>
          <w:color w:val="24B1C0"/>
          <w:sz w:val="24"/>
          <w:szCs w:val="24"/>
          <w:lang w:val="bg"/>
        </w:rPr>
        <w:footnoteReference w:id="101"/>
      </w:r>
      <w:r w:rsidR="007906A8" w:rsidRPr="001F1C12">
        <w:rPr>
          <w:rFonts w:ascii="Times New Roman" w:hAnsi="Times New Roman" w:cs="Times New Roman"/>
          <w:color w:val="24B1C0"/>
          <w:sz w:val="24"/>
          <w:szCs w:val="24"/>
          <w:lang w:val="bg"/>
        </w:rPr>
        <w:t>Даване на възможност на потребителя да възстанови паролата си</w:t>
      </w:r>
    </w:p>
    <w:p w:rsidR="007906A8" w:rsidRPr="001F1C12" w:rsidRDefault="007906A8" w:rsidP="00D1396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Системата трябва да осигури механизъм за възстановяване на паролата чрез връзка, изпратена на електронната поща на потребителите. Полето за възстановяване на паролата трябва да бъде captcha и с други технически средства защитени. Някои данни, които вече са налични в регистъра, могат да бъдат експортирани в поток от данни, който може да бъде прочетен по всяко време във формат XML, Json или XLS/CSV. Данните се актуализират в реално време. Тази информация може да се състои от избрани подробности относно членовете на регистъра, които могат да бъдат експортирани на конкретен URL адрес, от който външната система може да прочете съдържанието. В случай че се отнася само до публични данни, налични в регистъра, достъпът до информация може да не е защитен по определен начин. В случай че данните съдържат чувствителна или лична информация, която не трябва да се споделя с обществеността, URL адресът (или страницата, съдържаща данните) трябва да бъде защитен с парола. Възможно е да се интегрират други приложения, които данни могат да бъдат поставени в профила на члена. Вносът им е свързан с начина, по който се подават в регистъра и възможността да бъдат обработвани и интегрирани в неговата структура.</w:t>
      </w:r>
    </w:p>
    <w:p w:rsidR="007906A8" w:rsidRPr="00A84C49" w:rsidRDefault="007906A8" w:rsidP="00A84C49">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Възможно решение е да се актуализират данните от регистъра за конкретна(и) ЕК(и), като периодично се импортират данни от външен източник в json или XML формат, или чрез актуализиране на подобна на XLS таблица във формат CSV. Като се има предвид, че всяка ЕК има уникален идентификационен номер (не само номерът по ДДС), последният може лесно да бъде разграничен и данните му да бъдат актуализирани чрез четене от разстояние или чрез качване на файл от оператора. По време на процеса на актуализиране е възможно да се пренапишат вече налични данни. Поради това е важно да се определи коя информация трябва да бъде актуализирана, кой я събира и как се внася в системата.</w:t>
      </w:r>
      <w:bookmarkStart w:id="348" w:name="bookmark462"/>
      <w:r w:rsidRPr="00A84C49">
        <w:rPr>
          <w:lang w:val="bg"/>
        </w:rPr>
        <w:t xml:space="preserve"> </w:t>
      </w:r>
      <w:bookmarkEnd w:id="348"/>
    </w:p>
    <w:p w:rsidR="007906A8" w:rsidRPr="001F1C12" w:rsidRDefault="007906A8" w:rsidP="001F1C12">
      <w:pPr>
        <w:spacing w:line="276" w:lineRule="auto"/>
        <w:jc w:val="both"/>
        <w:rPr>
          <w:rFonts w:ascii="Times New Roman" w:hAnsi="Times New Roman" w:cs="Times New Roman"/>
          <w:color w:val="24B1C0"/>
          <w:sz w:val="24"/>
          <w:szCs w:val="24"/>
          <w:lang w:val="bg"/>
        </w:rPr>
      </w:pPr>
      <w:bookmarkStart w:id="349" w:name="bookmark464"/>
      <w:r w:rsidRPr="001F1C12">
        <w:rPr>
          <w:rFonts w:ascii="Times New Roman" w:hAnsi="Times New Roman" w:cs="Times New Roman"/>
          <w:color w:val="24B1C0"/>
          <w:sz w:val="24"/>
          <w:szCs w:val="24"/>
          <w:lang w:val="bg"/>
        </w:rPr>
        <w:t>Ползваемост на регистъра</w:t>
      </w:r>
      <w:bookmarkEnd w:id="349"/>
      <w:r w:rsidR="0028216B">
        <w:rPr>
          <w:rStyle w:val="FootnoteReference"/>
          <w:rFonts w:ascii="Times New Roman" w:hAnsi="Times New Roman" w:cs="Times New Roman"/>
          <w:color w:val="24B1C0"/>
          <w:sz w:val="24"/>
          <w:szCs w:val="24"/>
          <w:lang w:val="bg"/>
        </w:rPr>
        <w:footnoteReference w:id="102"/>
      </w:r>
    </w:p>
    <w:p w:rsidR="007906A8" w:rsidRPr="001F1C12" w:rsidRDefault="007906A8" w:rsidP="001F1C12">
      <w:pPr>
        <w:spacing w:line="276" w:lineRule="auto"/>
        <w:jc w:val="both"/>
        <w:rPr>
          <w:rFonts w:ascii="Times New Roman" w:hAnsi="Times New Roman" w:cs="Times New Roman"/>
          <w:sz w:val="24"/>
          <w:szCs w:val="24"/>
          <w:lang w:val="bg"/>
        </w:rPr>
      </w:pPr>
      <w:r w:rsidRPr="001F1C12">
        <w:rPr>
          <w:rFonts w:ascii="Times New Roman" w:hAnsi="Times New Roman" w:cs="Times New Roman"/>
          <w:sz w:val="24"/>
          <w:szCs w:val="24"/>
          <w:lang w:val="bg"/>
        </w:rPr>
        <w:t>Ползваемостта на регистъра е от ключово значение за потребителите на интернет. Тя е свързана от една страна с въпроси за сигурността, така че потребителят да се чувства в безопасност при използване на платформата, а от друга страна, осигурявайки интуитивен достъп и извличане на информация. Ползваемостта зависи от:</w:t>
      </w:r>
    </w:p>
    <w:p w:rsidR="000E6421" w:rsidRDefault="007906A8" w:rsidP="00B01311">
      <w:pPr>
        <w:pStyle w:val="ListParagraph"/>
        <w:numPr>
          <w:ilvl w:val="0"/>
          <w:numId w:val="141"/>
        </w:numPr>
        <w:spacing w:line="276" w:lineRule="auto"/>
        <w:jc w:val="both"/>
        <w:rPr>
          <w:rFonts w:ascii="Times New Roman" w:hAnsi="Times New Roman" w:cs="Times New Roman"/>
          <w:sz w:val="24"/>
          <w:szCs w:val="24"/>
          <w:lang w:val="bg"/>
        </w:rPr>
      </w:pPr>
      <w:r w:rsidRPr="00165F08">
        <w:rPr>
          <w:rFonts w:ascii="Times New Roman" w:hAnsi="Times New Roman" w:cs="Times New Roman"/>
          <w:sz w:val="24"/>
          <w:szCs w:val="24"/>
          <w:lang w:val="bg"/>
        </w:rPr>
        <w:t>Лесен за навигация и интуитивен потребителски интерфейс</w:t>
      </w:r>
    </w:p>
    <w:p w:rsidR="000E6421" w:rsidRDefault="007906A8" w:rsidP="00B01311">
      <w:pPr>
        <w:pStyle w:val="ListParagraph"/>
        <w:numPr>
          <w:ilvl w:val="0"/>
          <w:numId w:val="141"/>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Достъпна навигация (менюта), която не трябва да променя мястото си;</w:t>
      </w:r>
    </w:p>
    <w:p w:rsidR="000E6421" w:rsidRDefault="007906A8" w:rsidP="00B01311">
      <w:pPr>
        <w:pStyle w:val="ListParagraph"/>
        <w:numPr>
          <w:ilvl w:val="0"/>
          <w:numId w:val="141"/>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Допълнителни навигационни елементи, разположени в страничн</w:t>
      </w:r>
      <w:r w:rsidR="000E6421">
        <w:rPr>
          <w:rFonts w:ascii="Times New Roman" w:hAnsi="Times New Roman" w:cs="Times New Roman"/>
          <w:sz w:val="24"/>
          <w:szCs w:val="24"/>
          <w:lang w:val="bg"/>
        </w:rPr>
        <w:t>ата лента или долния колонтитул</w:t>
      </w:r>
    </w:p>
    <w:p w:rsidR="000E6421" w:rsidRDefault="007906A8" w:rsidP="00B01311">
      <w:pPr>
        <w:pStyle w:val="ListParagraph"/>
        <w:numPr>
          <w:ilvl w:val="0"/>
          <w:numId w:val="141"/>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lastRenderedPageBreak/>
        <w:t>Достъп до страницата за контакт и данни за осъществяване на бърза връзка с оператор, в случай на затруднения или проблем;</w:t>
      </w:r>
    </w:p>
    <w:p w:rsidR="007906A8" w:rsidRPr="000E6421" w:rsidRDefault="007906A8" w:rsidP="00B01311">
      <w:pPr>
        <w:pStyle w:val="ListParagraph"/>
        <w:numPr>
          <w:ilvl w:val="0"/>
          <w:numId w:val="141"/>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Наличие на полезна информация относно процеса на регистрация (както и всяка друга, която може да бъде полезна за обосноваване на ЕК).</w:t>
      </w:r>
    </w:p>
    <w:p w:rsidR="007906A8" w:rsidRPr="00165F08" w:rsidRDefault="007906A8" w:rsidP="00165F08">
      <w:pPr>
        <w:spacing w:line="276" w:lineRule="auto"/>
        <w:jc w:val="both"/>
        <w:rPr>
          <w:rFonts w:ascii="Times New Roman" w:hAnsi="Times New Roman" w:cs="Times New Roman"/>
          <w:sz w:val="24"/>
          <w:szCs w:val="24"/>
          <w:lang w:val="bg"/>
        </w:rPr>
      </w:pPr>
      <w:r w:rsidRPr="00165F08">
        <w:rPr>
          <w:rFonts w:ascii="Times New Roman" w:hAnsi="Times New Roman" w:cs="Times New Roman"/>
          <w:sz w:val="24"/>
          <w:szCs w:val="24"/>
          <w:lang w:val="bg"/>
        </w:rPr>
        <w:t>Важно е също така да се осигури достъпност за различни устройства, включително:</w:t>
      </w:r>
    </w:p>
    <w:p w:rsidR="000E6421" w:rsidRDefault="007906A8" w:rsidP="00B01311">
      <w:pPr>
        <w:pStyle w:val="ListParagraph"/>
        <w:numPr>
          <w:ilvl w:val="0"/>
          <w:numId w:val="142"/>
        </w:numPr>
        <w:spacing w:line="276" w:lineRule="auto"/>
        <w:jc w:val="both"/>
        <w:rPr>
          <w:rFonts w:ascii="Times New Roman" w:hAnsi="Times New Roman" w:cs="Times New Roman"/>
          <w:sz w:val="24"/>
          <w:szCs w:val="24"/>
          <w:lang w:val="bg"/>
        </w:rPr>
      </w:pPr>
      <w:r w:rsidRPr="00165F08">
        <w:rPr>
          <w:rFonts w:ascii="Times New Roman" w:hAnsi="Times New Roman" w:cs="Times New Roman"/>
          <w:sz w:val="24"/>
          <w:szCs w:val="24"/>
          <w:lang w:val="bg"/>
        </w:rPr>
        <w:t>Настолни компютри с различни размери на екрана;</w:t>
      </w:r>
    </w:p>
    <w:p w:rsidR="000E6421" w:rsidRDefault="007906A8" w:rsidP="00B01311">
      <w:pPr>
        <w:pStyle w:val="ListParagraph"/>
        <w:numPr>
          <w:ilvl w:val="0"/>
          <w:numId w:val="142"/>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Преносими компютри/лаптопи с фиксиран размер на екрана;</w:t>
      </w:r>
    </w:p>
    <w:p w:rsidR="000E6421" w:rsidRDefault="007906A8" w:rsidP="00B01311">
      <w:pPr>
        <w:pStyle w:val="ListParagraph"/>
        <w:numPr>
          <w:ilvl w:val="0"/>
          <w:numId w:val="142"/>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Таблети и четци за електронни книги;</w:t>
      </w:r>
    </w:p>
    <w:p w:rsidR="007906A8" w:rsidRPr="000E6421" w:rsidRDefault="007906A8" w:rsidP="00B01311">
      <w:pPr>
        <w:pStyle w:val="ListParagraph"/>
        <w:numPr>
          <w:ilvl w:val="0"/>
          <w:numId w:val="142"/>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Мобилни устройства (смартфони).</w:t>
      </w:r>
    </w:p>
    <w:p w:rsidR="007906A8" w:rsidRPr="00165F08" w:rsidRDefault="007906A8" w:rsidP="00165F08">
      <w:pPr>
        <w:spacing w:line="276" w:lineRule="auto"/>
        <w:jc w:val="both"/>
        <w:rPr>
          <w:rFonts w:ascii="Times New Roman" w:hAnsi="Times New Roman" w:cs="Times New Roman"/>
          <w:sz w:val="24"/>
          <w:szCs w:val="24"/>
          <w:lang w:val="bg"/>
        </w:rPr>
      </w:pPr>
      <w:r w:rsidRPr="00165F08">
        <w:rPr>
          <w:rFonts w:ascii="Times New Roman" w:hAnsi="Times New Roman" w:cs="Times New Roman"/>
          <w:sz w:val="24"/>
          <w:szCs w:val="24"/>
          <w:lang w:val="bg"/>
        </w:rPr>
        <w:t>Има два основни подхода за постигане на това:</w:t>
      </w:r>
    </w:p>
    <w:p w:rsidR="00FA6915" w:rsidRDefault="007906A8" w:rsidP="00B01311">
      <w:pPr>
        <w:pStyle w:val="ListParagraph"/>
        <w:numPr>
          <w:ilvl w:val="0"/>
          <w:numId w:val="143"/>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Да създаде и базира дизайна на отзивчива тема, в която всички елементи на страницата да се препозици</w:t>
      </w:r>
      <w:r w:rsidR="00FA6915">
        <w:rPr>
          <w:rFonts w:ascii="Times New Roman" w:hAnsi="Times New Roman" w:cs="Times New Roman"/>
          <w:sz w:val="24"/>
          <w:szCs w:val="24"/>
          <w:lang w:val="bg"/>
        </w:rPr>
        <w:t>онират според размера на екрана</w:t>
      </w:r>
    </w:p>
    <w:p w:rsidR="007906A8" w:rsidRPr="00FA6915" w:rsidRDefault="007906A8" w:rsidP="00B01311">
      <w:pPr>
        <w:pStyle w:val="ListParagraph"/>
        <w:numPr>
          <w:ilvl w:val="0"/>
          <w:numId w:val="143"/>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Да има две теми - една за настолни и преносими компютри и една за мобилни устройства и смартфони.</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Създаването на две теми може да има смисъл, в случай че има някои трудности да се покаже цялата информация в отзивчивата тема. Използването на две теми дава възможност да се контролира коя информация показваме според дисплея на потребителя. Задължително е да се има предвид, че административната тема трябва да има отзивчиви или мобилни характеристики, тъй като тя трябва да се използва от администратора/редактора на сайта и неговите регистрирани потребители. Цялостното положително потребителско изживяване е насочено към потребителите на сайта. Информацията трябва да бъде намерена лесно и може да се внедри функция за търсене, като търсене по ключова дума или фраза. Потребителите трябва лесно да разграничават регистъра. Приложението може да промени перспективата си по време или след техническо подобрение. Трябва обаче да има някакъв вид наследяване по реда, по който потребителят признава регистъра. Наръчниците могат да се използват за подпомагане на процеса на създаване на уебсайта — например в „Елементи на потребителския опит“.</w:t>
      </w:r>
      <w:hyperlink w:anchor="bookmark108" w:tooltip="Current Document">
        <w:r w:rsidRPr="00FA6915">
          <w:rPr>
            <w:rStyle w:val="Hyperlink"/>
            <w:rFonts w:ascii="Times New Roman" w:hAnsi="Times New Roman" w:cs="Times New Roman"/>
            <w:sz w:val="24"/>
            <w:szCs w:val="24"/>
            <w:lang w:val="bg"/>
          </w:rPr>
          <w:footnoteReference w:id="103"/>
        </w:r>
      </w:hyperlink>
      <w:r w:rsidRPr="00FA6915">
        <w:rPr>
          <w:rFonts w:ascii="Times New Roman" w:hAnsi="Times New Roman" w:cs="Times New Roman"/>
          <w:sz w:val="24"/>
          <w:szCs w:val="24"/>
          <w:lang w:val="bg"/>
        </w:rPr>
        <w:t xml:space="preserve"> Той трябва да бъде потребителски центриран дизайн и цялостен изглед на приложението.</w:t>
      </w:r>
    </w:p>
    <w:p w:rsidR="007906A8" w:rsidRPr="00FA6915" w:rsidRDefault="007906A8" w:rsidP="00FA6915">
      <w:pPr>
        <w:spacing w:line="276" w:lineRule="auto"/>
        <w:jc w:val="both"/>
        <w:rPr>
          <w:rFonts w:ascii="Times New Roman" w:hAnsi="Times New Roman" w:cs="Times New Roman"/>
          <w:color w:val="24B1C0"/>
          <w:sz w:val="24"/>
          <w:szCs w:val="24"/>
          <w:lang w:val="bg"/>
        </w:rPr>
      </w:pPr>
      <w:bookmarkStart w:id="350" w:name="bookmark466"/>
      <w:r w:rsidRPr="005B33B6">
        <w:rPr>
          <w:rFonts w:ascii="Times New Roman" w:hAnsi="Times New Roman" w:cs="Times New Roman"/>
          <w:color w:val="24B1C0"/>
          <w:sz w:val="24"/>
          <w:szCs w:val="24"/>
          <w:lang w:val="bg-BG"/>
        </w:rPr>
        <w:t>Ползваемост</w:t>
      </w:r>
      <w:r w:rsidRPr="00FA6915">
        <w:rPr>
          <w:rFonts w:ascii="Times New Roman" w:hAnsi="Times New Roman" w:cs="Times New Roman"/>
          <w:color w:val="24B1C0"/>
          <w:sz w:val="24"/>
          <w:szCs w:val="24"/>
          <w:lang w:val="bg"/>
        </w:rPr>
        <w:t xml:space="preserve"> за хора с увреждания</w:t>
      </w:r>
      <w:bookmarkEnd w:id="350"/>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В този случай регистърът трябва да отговаря на следните изисквания:</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Изберете и използвайте лесен за четене шрифт Sans Serif, с български букви за някои букви като „б“, „в“, „д“. Пример за безплатно разпределен шрифт е София</w:t>
      </w:r>
      <w:hyperlink w:anchor="bookmark109" w:tooltip="Current Document">
        <w:r w:rsidRPr="007727EE">
          <w:rPr>
            <w:rStyle w:val="Hyperlink"/>
            <w:rFonts w:ascii="Times New Roman" w:hAnsi="Times New Roman" w:cs="Times New Roman"/>
            <w:sz w:val="24"/>
            <w:szCs w:val="24"/>
            <w:vertAlign w:val="superscript"/>
            <w:lang w:val="bg"/>
          </w:rPr>
          <w:footnoteReference w:id="104"/>
        </w:r>
      </w:hyperlink>
      <w:r w:rsidRPr="00FA6915">
        <w:rPr>
          <w:rFonts w:ascii="Times New Roman" w:hAnsi="Times New Roman" w:cs="Times New Roman"/>
          <w:sz w:val="24"/>
          <w:szCs w:val="24"/>
          <w:lang w:val="bg"/>
        </w:rPr>
        <w:t>, който се използва и в уеб сайтове на българското правителство.</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Текстът трябва да бъде лесно разграничен от фона на страницата.</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Минималният размер на буквата трябва да бъде 1-1.1em, освен когато се използва в декоративни елементи.</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Трябва да бъде зададена цветова схема, която да се използва за ясно разграничаване на заглавията на основните текстови форми, хипервръзките и елементите от менюто.</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lastRenderedPageBreak/>
        <w:t>Да се използват алтернативни описания (ALT) и заглавия за изображения, така че последните да могат да бъдат прочетени от екранни четци.</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За да имате възможност да добавите заглавие към хипервръзките в елементите от менюто.</w:t>
      </w:r>
    </w:p>
    <w:p w:rsid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Всички полета, които трябва да бъдат попълнени с информация за потребителя, трябва да имат етикет или заглавие.</w:t>
      </w:r>
    </w:p>
    <w:p w:rsidR="007906A8" w:rsidRPr="000E6421" w:rsidRDefault="007906A8" w:rsidP="00B01311">
      <w:pPr>
        <w:pStyle w:val="ListParagraph"/>
        <w:numPr>
          <w:ilvl w:val="0"/>
          <w:numId w:val="144"/>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Записите и видеоклиповете със субтитри, свързани с учредяването на ЕО, са от полза за всички хора с увреждания.</w:t>
      </w:r>
    </w:p>
    <w:p w:rsidR="007906A8" w:rsidRPr="00FA6915" w:rsidRDefault="007906A8" w:rsidP="00FA6915">
      <w:pPr>
        <w:spacing w:line="276" w:lineRule="auto"/>
        <w:rPr>
          <w:rFonts w:ascii="Times New Roman" w:hAnsi="Times New Roman" w:cs="Times New Roman"/>
          <w:sz w:val="24"/>
          <w:szCs w:val="24"/>
          <w:lang w:val="bg"/>
        </w:rPr>
      </w:pPr>
      <w:r w:rsidRPr="00FA6915">
        <w:rPr>
          <w:rFonts w:ascii="Times New Roman" w:hAnsi="Times New Roman" w:cs="Times New Roman"/>
          <w:sz w:val="24"/>
          <w:szCs w:val="24"/>
          <w:lang w:val="bg"/>
        </w:rPr>
        <w:t>Друг инструмент за достъпност е наличието на HTML карта на сайта на REC, описваща неговата структура и съдържаща всички страници, достъпни от обществеността. Инструмент за изпитване на контраста на екрана, свързан с достъпността, се предоставя например чрез Firefoc Browse ADD-ONS:</w:t>
      </w:r>
      <w:hyperlink w:anchor="bookmark110" w:tooltip="Current Document">
        <w:r w:rsidRPr="00FA6915">
          <w:rPr>
            <w:rStyle w:val="Hyperlink"/>
            <w:rFonts w:ascii="Times New Roman" w:hAnsi="Times New Roman" w:cs="Times New Roman"/>
            <w:sz w:val="24"/>
            <w:szCs w:val="24"/>
            <w:lang w:val="bg"/>
          </w:rPr>
          <w:footnoteReference w:id="105"/>
        </w:r>
      </w:hyperlink>
    </w:p>
    <w:p w:rsidR="007906A8" w:rsidRPr="007906A8" w:rsidRDefault="007906A8" w:rsidP="00FA6915">
      <w:pPr>
        <w:jc w:val="center"/>
        <w:rPr>
          <w:lang w:val="bg"/>
        </w:rPr>
      </w:pPr>
      <w:r w:rsidRPr="007906A8">
        <w:rPr>
          <w:noProof/>
          <w:lang w:val="bg-BG" w:eastAsia="bg-BG"/>
        </w:rPr>
        <w:drawing>
          <wp:inline distT="0" distB="0" distL="0" distR="0" wp14:anchorId="54C7B8D2" wp14:editId="0D0A2051">
            <wp:extent cx="2597150" cy="2365375"/>
            <wp:effectExtent l="0" t="0" r="0" b="0"/>
            <wp:docPr id="207" name="Пикутър 207"/>
            <wp:cNvGraphicFramePr/>
            <a:graphic xmlns:a="http://schemas.openxmlformats.org/drawingml/2006/main">
              <a:graphicData uri="http://schemas.openxmlformats.org/drawingml/2006/picture">
                <pic:pic xmlns:pic="http://schemas.openxmlformats.org/drawingml/2006/picture">
                  <pic:nvPicPr>
                    <pic:cNvPr id="207" name="Снимка 207"/>
                    <pic:cNvPicPr/>
                  </pic:nvPicPr>
                  <pic:blipFill>
                    <a:blip r:embed="rId54"/>
                    <a:stretch/>
                  </pic:blipFill>
                  <pic:spPr>
                    <a:xfrm>
                      <a:off x="0" y="0"/>
                      <a:ext cx="2597150" cy="2365375"/>
                    </a:xfrm>
                    <a:prstGeom prst="rect">
                      <a:avLst/>
                    </a:prstGeom>
                  </pic:spPr>
                </pic:pic>
              </a:graphicData>
            </a:graphic>
          </wp:inline>
        </w:drawing>
      </w:r>
    </w:p>
    <w:p w:rsidR="007906A8" w:rsidRPr="007906A8" w:rsidRDefault="007906A8" w:rsidP="007906A8">
      <w:pPr>
        <w:rPr>
          <w:lang w:val="bg"/>
        </w:rPr>
      </w:pPr>
    </w:p>
    <w:p w:rsidR="007906A8" w:rsidRPr="00FA6915" w:rsidRDefault="007906A8" w:rsidP="00FA6915">
      <w:pPr>
        <w:spacing w:line="276" w:lineRule="auto"/>
        <w:jc w:val="both"/>
        <w:rPr>
          <w:rFonts w:ascii="Times New Roman" w:hAnsi="Times New Roman" w:cs="Times New Roman"/>
          <w:color w:val="24B1C0"/>
          <w:sz w:val="24"/>
          <w:szCs w:val="24"/>
          <w:lang w:val="bg"/>
        </w:rPr>
      </w:pPr>
      <w:r w:rsidRPr="00FA6915">
        <w:rPr>
          <w:rFonts w:ascii="Times New Roman" w:hAnsi="Times New Roman" w:cs="Times New Roman"/>
          <w:color w:val="24B1C0"/>
          <w:sz w:val="24"/>
          <w:szCs w:val="24"/>
          <w:lang w:val="bg"/>
        </w:rPr>
        <w:t>Други решения относно използваемостта</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Разработчиците на регистри могат да се възползват от други подходи, свързани с неговата използваемост, като например:</w:t>
      </w:r>
    </w:p>
    <w:p w:rsidR="00FA6915" w:rsidRDefault="007906A8" w:rsidP="00B01311">
      <w:pPr>
        <w:pStyle w:val="ListParagraph"/>
        <w:numPr>
          <w:ilvl w:val="0"/>
          <w:numId w:val="145"/>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Възможност за промяна на размера на шрифта на съдържанието</w:t>
      </w:r>
    </w:p>
    <w:p w:rsidR="00FA6915" w:rsidRDefault="007906A8" w:rsidP="00B01311">
      <w:pPr>
        <w:pStyle w:val="ListParagraph"/>
        <w:numPr>
          <w:ilvl w:val="0"/>
          <w:numId w:val="145"/>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Възможност за обръщане на цветовете на фона и основния текст</w:t>
      </w:r>
    </w:p>
    <w:p w:rsidR="00FA6915" w:rsidRDefault="007906A8" w:rsidP="00B01311">
      <w:pPr>
        <w:pStyle w:val="ListParagraph"/>
        <w:numPr>
          <w:ilvl w:val="0"/>
          <w:numId w:val="145"/>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Текст към речта</w:t>
      </w:r>
    </w:p>
    <w:p w:rsidR="007906A8" w:rsidRPr="00FA6915" w:rsidRDefault="007906A8" w:rsidP="00B01311">
      <w:pPr>
        <w:pStyle w:val="ListParagraph"/>
        <w:numPr>
          <w:ilvl w:val="0"/>
          <w:numId w:val="145"/>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Промяна на типа лице за хора със затруднения в четенето (дислексия)</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Всички посочени по-горе подходи трябва да се прилагат внимателно. Те не трябва да оказват отрицателно въздействие върху потребителския опит, а да предоставят инструменти за достъп до информация на потребители с определени (зрителни) увреждания.</w:t>
      </w:r>
    </w:p>
    <w:p w:rsidR="007906A8" w:rsidRPr="00FA6915" w:rsidRDefault="007906A8" w:rsidP="00FA6915">
      <w:pPr>
        <w:spacing w:line="276" w:lineRule="auto"/>
        <w:jc w:val="both"/>
        <w:rPr>
          <w:rFonts w:ascii="Times New Roman" w:hAnsi="Times New Roman" w:cs="Times New Roman"/>
          <w:color w:val="24B1C0"/>
          <w:sz w:val="24"/>
          <w:szCs w:val="24"/>
          <w:lang w:val="bg"/>
        </w:rPr>
      </w:pPr>
      <w:r w:rsidRPr="00FA6915">
        <w:rPr>
          <w:rFonts w:ascii="Times New Roman" w:hAnsi="Times New Roman" w:cs="Times New Roman"/>
          <w:color w:val="24B1C0"/>
          <w:sz w:val="24"/>
          <w:szCs w:val="24"/>
          <w:lang w:val="bg"/>
        </w:rPr>
        <w:t>HTML5 семантична структура и хипервръзки</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 xml:space="preserve">Обичайна практика е семантиката на HTML5 да се използва в структурата на страницата, в която различните елементи могат лесно да бъдат разграничени, като например &lt;header&gt;, &lt;nav&gt; основна навигация, &lt;main&gt; за основната информация &lt;aside&gt; за страничните ленти, </w:t>
      </w:r>
      <w:r w:rsidRPr="00FA6915">
        <w:rPr>
          <w:rFonts w:ascii="Times New Roman" w:hAnsi="Times New Roman" w:cs="Times New Roman"/>
          <w:sz w:val="24"/>
          <w:szCs w:val="24"/>
          <w:lang w:val="bg"/>
        </w:rPr>
        <w:lastRenderedPageBreak/>
        <w:t>съдържащи вторичните данни, &lt;sections&gt; за определени блокове и накрая &lt;footer&gt;, поставяйки затварянето на страницата и кредитите. Семантичната структура позволява на машините за търсене да локализират съдържанието на главната страница и да различават елементите на нея. С &lt;div&gt; можем да увием всички елементи, които не са от значение и се намират в семантичните контейнери. Друга добра практика е заглавията &lt;h1&gt; до &lt;h6&gt; да се структурират в йерархия според първата страница. Например h1 за заглавие на страница, h2, блок едно и h3 за заглавие на съдържание на блок. Възможно е също така да се интегрира модул за структурирани данни, който може да обхваща определени полета от съдържанието</w:t>
      </w:r>
      <w:r w:rsidRPr="00FA6915">
        <w:rPr>
          <w:rFonts w:ascii="Times New Roman" w:hAnsi="Times New Roman" w:cs="Times New Roman"/>
          <w:sz w:val="24"/>
          <w:szCs w:val="24"/>
          <w:vertAlign w:val="superscript"/>
          <w:lang w:val="bg"/>
        </w:rPr>
        <w:t>119</w:t>
      </w:r>
      <w:r w:rsidRPr="00FA6915">
        <w:rPr>
          <w:rFonts w:ascii="Times New Roman" w:hAnsi="Times New Roman" w:cs="Times New Roman"/>
          <w:sz w:val="24"/>
          <w:szCs w:val="24"/>
          <w:lang w:val="bg"/>
        </w:rPr>
        <w:t>. Това ще позволи описанието на типовете съдържание, като например лице, организация и т.н., да приключи с определени полета. Препоръчва се всички външни връзки да се отварят в нов прозорец на браузъра или в раздел. Прикачените файлове могат да се изтеглят директно и може да се внедри и брояч за изтегляне.</w:t>
      </w:r>
    </w:p>
    <w:p w:rsidR="007906A8" w:rsidRPr="00FA6915" w:rsidRDefault="007906A8" w:rsidP="00FA6915">
      <w:pPr>
        <w:spacing w:line="276" w:lineRule="auto"/>
        <w:jc w:val="both"/>
        <w:rPr>
          <w:rFonts w:ascii="Times New Roman" w:hAnsi="Times New Roman" w:cs="Times New Roman"/>
          <w:color w:val="24B1C0"/>
          <w:sz w:val="24"/>
          <w:szCs w:val="24"/>
          <w:lang w:val="bg"/>
        </w:rPr>
      </w:pPr>
      <w:bookmarkStart w:id="353" w:name="bookmark468"/>
      <w:r w:rsidRPr="00FA6915">
        <w:rPr>
          <w:rFonts w:ascii="Times New Roman" w:hAnsi="Times New Roman" w:cs="Times New Roman"/>
          <w:color w:val="24B1C0"/>
          <w:sz w:val="24"/>
          <w:szCs w:val="24"/>
          <w:lang w:val="bg"/>
        </w:rPr>
        <w:t>SEO оптимизация</w:t>
      </w:r>
      <w:bookmarkEnd w:id="353"/>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Също така е изключително важно всички страници и категории в REC да имат подходящо метазаглавие и метаописание, ако е възможно, което да помогне за намирането на регистъра и информацията в него от интернет потребителите според тяхното търсене, въз основа на ключови думи и фрази.</w:t>
      </w:r>
    </w:p>
    <w:p w:rsidR="007906A8"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Трябва да се създаде XML карта на сайта, която съдържа всички страници, достъпни за обществеността, и която съдържа важна за потребителя информация. Всички публични профили на ЕК трябва да бъдат включени в него. URL адресите на възлите (страниците) трябва да бъдат транслитерирани и направени четими от човек, съответстващи на заглавието на страницата или на раздела от регистъра. В системата трябва да се внедри модул за транслитерация, за да се транслитерират URL адресите и качените от файловете на потребителите, като се премахнат интервалите и специалните символи. Инструментите за наблюдение на посетителите на сайта и ефективността на сървъра и възникналите проблеми могат да бъдат внедрени с помощта на трети страни. Две от най-важните външни приложения са Google Search Console и Google Analytics. Мониторингът на посетителите на сайта е свързан със събирането на статистически данни за потребителя, като възраст, пол, местоположение и т.н. По този начин потребителите трябва да бъдат информирани за наличието на такива инструменти в регистъра.</w:t>
      </w:r>
    </w:p>
    <w:p w:rsidR="00FA6915" w:rsidRPr="00FA6915" w:rsidRDefault="00FA6915" w:rsidP="00FA6915">
      <w:pPr>
        <w:spacing w:line="276" w:lineRule="auto"/>
        <w:jc w:val="both"/>
        <w:rPr>
          <w:rFonts w:ascii="Times New Roman" w:hAnsi="Times New Roman" w:cs="Times New Roman"/>
          <w:sz w:val="24"/>
          <w:szCs w:val="24"/>
          <w:lang w:val="bg"/>
        </w:rPr>
      </w:pPr>
    </w:p>
    <w:p w:rsidR="00FA6915" w:rsidRDefault="007906A8" w:rsidP="00FA6915">
      <w:pPr>
        <w:spacing w:line="276" w:lineRule="auto"/>
        <w:jc w:val="both"/>
        <w:rPr>
          <w:rFonts w:ascii="Times New Roman" w:hAnsi="Times New Roman" w:cs="Times New Roman"/>
          <w:i/>
          <w:color w:val="24B1C0"/>
          <w:sz w:val="32"/>
          <w:szCs w:val="32"/>
          <w:lang w:val="bg"/>
        </w:rPr>
      </w:pPr>
      <w:r w:rsidRPr="00FA6915">
        <w:rPr>
          <w:rFonts w:ascii="Times New Roman" w:hAnsi="Times New Roman" w:cs="Times New Roman"/>
          <w:i/>
          <w:color w:val="24B1C0"/>
          <w:sz w:val="32"/>
          <w:szCs w:val="32"/>
          <w:lang w:val="bg"/>
        </w:rPr>
        <w:t>Съвместимостта се гарантира от възможностите за постоянство на данните при бъдещо актуализиране на стека на сървъра или уеб базираната платформа на регистъра.</w:t>
      </w:r>
    </w:p>
    <w:p w:rsidR="00FA6915" w:rsidRPr="00FA6915" w:rsidRDefault="00FA6915" w:rsidP="00FA6915">
      <w:pPr>
        <w:spacing w:line="276" w:lineRule="auto"/>
        <w:jc w:val="both"/>
        <w:rPr>
          <w:rFonts w:ascii="Times New Roman" w:hAnsi="Times New Roman" w:cs="Times New Roman"/>
          <w:i/>
          <w:color w:val="24B1C0"/>
          <w:sz w:val="32"/>
          <w:szCs w:val="32"/>
          <w:lang w:val="bg"/>
        </w:rPr>
      </w:pPr>
    </w:p>
    <w:p w:rsidR="007906A8" w:rsidRDefault="007906A8" w:rsidP="00B01311">
      <w:pPr>
        <w:pStyle w:val="Heading2"/>
        <w:numPr>
          <w:ilvl w:val="1"/>
          <w:numId w:val="146"/>
        </w:numPr>
        <w:spacing w:line="276" w:lineRule="auto"/>
        <w:jc w:val="both"/>
        <w:rPr>
          <w:rFonts w:ascii="Times New Roman" w:hAnsi="Times New Roman" w:cs="Times New Roman"/>
          <w:color w:val="24B1C0"/>
          <w:sz w:val="30"/>
          <w:szCs w:val="30"/>
          <w:lang w:val="bg"/>
        </w:rPr>
      </w:pPr>
      <w:bookmarkStart w:id="354" w:name="bookmark471"/>
      <w:bookmarkStart w:id="355" w:name="bookmark470"/>
      <w:bookmarkStart w:id="356" w:name="_Toc203141322"/>
      <w:r w:rsidRPr="00FA6915">
        <w:rPr>
          <w:rFonts w:ascii="Times New Roman" w:hAnsi="Times New Roman" w:cs="Times New Roman"/>
          <w:color w:val="24B1C0"/>
          <w:sz w:val="30"/>
          <w:szCs w:val="30"/>
          <w:lang w:val="bg"/>
        </w:rPr>
        <w:t>Софтуер за вземане на решения, който би могъл да се използва в полза на бъдещите членове на енергийната общност по пътя им към създаване и регистриране на енергийна общност</w:t>
      </w:r>
      <w:bookmarkEnd w:id="354"/>
      <w:bookmarkEnd w:id="355"/>
      <w:bookmarkEnd w:id="356"/>
    </w:p>
    <w:p w:rsidR="00FA6915" w:rsidRPr="00FA6915" w:rsidRDefault="00FA6915" w:rsidP="00FA6915">
      <w:pPr>
        <w:pStyle w:val="ListParagraph"/>
        <w:rPr>
          <w:lang w:val="bg"/>
        </w:rPr>
      </w:pP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lastRenderedPageBreak/>
        <w:t>Предлагаме използването на мултиплатформен софтуер за вземане на решения, базиран на отворен код. Това ще направи платформата независима по отношение на хардуера и операционната система и ще бъде предоставен целият изходен код на програмата. По този начин приложението осигурява прозрачност на своя работен процес и сигурност на потребителя, без допълнителни разходи за лицензионни споразумения. Пример за такъв софтуер е Loomio</w:t>
      </w:r>
      <w:r w:rsidRPr="00FA6915">
        <w:rPr>
          <w:rFonts w:ascii="Times New Roman" w:hAnsi="Times New Roman" w:cs="Times New Roman"/>
          <w:sz w:val="24"/>
          <w:szCs w:val="24"/>
          <w:vertAlign w:val="superscript"/>
          <w:lang w:val="bg"/>
        </w:rPr>
        <w:t>120</w:t>
      </w:r>
      <w:r w:rsidRPr="00FA6915">
        <w:rPr>
          <w:rFonts w:ascii="Times New Roman" w:hAnsi="Times New Roman" w:cs="Times New Roman"/>
          <w:sz w:val="24"/>
          <w:szCs w:val="24"/>
          <w:lang w:val="bg"/>
        </w:rPr>
        <w:t>, но следва да бъде обект на по-късни тестове.</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Уеб базираният софтуер за вземане на решения може да бъде инсталиран на сървър, до който всички членове на ЕК трябва да имат достъп. В приложението потребителите могат да бъдат организирани в групи, да споделят информация вътрешно, да задават въпроси, които могат да бъдат структурирани като анкети / проучвания, а върху отговорите на потребителите може да бъде събрана статистика, която да им помогне по-късно да вземат своите решения. Приложението трябва да бъде сигурно и достъпно само за членовете на енергийната общност. Тя трябва да се поддържа и администрира лесно и има възможност да уведомява всеки член, след като е направена промяна, относно анкета/проучване, гласуване, споделяне на документи и т.н. По този начин потребителите на платформата ще бъдат информирани в реално време. Каналите за уведомяване могат да бъдат електронна поща или други онлайн базирани протоколи и приложения (като Viber, SMS, WhatsAPP, Jabber, iChat и т.н.) в зависимост от възможността за интегриране на такава система за съобщения с приложението и желанието на потребителя да бъде уведомен по такъв начин. Важно е да имате възможност за обмен на документи, снимки и евентуално видеоклипове. Многоезичната подкрепа в полза на членовете на енергийната общност, които не използват друг език освен майчиния, ще бъде предимство.</w:t>
      </w:r>
    </w:p>
    <w:p w:rsidR="007906A8" w:rsidRDefault="00FA6915" w:rsidP="00FA6915">
      <w:pPr>
        <w:pStyle w:val="Heading3"/>
        <w:spacing w:line="276" w:lineRule="auto"/>
        <w:jc w:val="both"/>
        <w:rPr>
          <w:rFonts w:ascii="Times New Roman" w:hAnsi="Times New Roman" w:cs="Times New Roman"/>
          <w:color w:val="24B1C0"/>
          <w:sz w:val="28"/>
          <w:szCs w:val="28"/>
          <w:lang w:val="bg"/>
        </w:rPr>
      </w:pPr>
      <w:bookmarkStart w:id="357" w:name="bookmark474"/>
      <w:bookmarkStart w:id="358" w:name="bookmark473"/>
      <w:bookmarkStart w:id="359" w:name="_Toc203141323"/>
      <w:r>
        <w:rPr>
          <w:rFonts w:ascii="Times New Roman" w:hAnsi="Times New Roman" w:cs="Times New Roman"/>
          <w:color w:val="24B1C0"/>
          <w:sz w:val="28"/>
          <w:szCs w:val="28"/>
          <w:lang w:val="bg"/>
        </w:rPr>
        <w:t xml:space="preserve">5.6.1 </w:t>
      </w:r>
      <w:r w:rsidR="007906A8" w:rsidRPr="00FA6915">
        <w:rPr>
          <w:rFonts w:ascii="Times New Roman" w:hAnsi="Times New Roman" w:cs="Times New Roman"/>
          <w:color w:val="24B1C0"/>
          <w:sz w:val="28"/>
          <w:szCs w:val="28"/>
          <w:lang w:val="bg"/>
        </w:rPr>
        <w:t>Основни функции</w:t>
      </w:r>
      <w:bookmarkEnd w:id="357"/>
      <w:bookmarkEnd w:id="358"/>
      <w:bookmarkEnd w:id="359"/>
    </w:p>
    <w:p w:rsidR="00FA6915" w:rsidRPr="00FA6915" w:rsidRDefault="00FA6915" w:rsidP="00FA6915">
      <w:pPr>
        <w:rPr>
          <w:lang w:val="bg"/>
        </w:rPr>
      </w:pP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Приложението може да се използва по такъв начин, че да спомогне за създаването на енергийна общност. Въпроси относно регистрацията на енергийна общност могат да бъдат задавани:</w:t>
      </w:r>
    </w:p>
    <w:p w:rsid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Избор на правния тип на енергийната общност</w:t>
      </w:r>
    </w:p>
    <w:p w:rsid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Определяне на членовете</w:t>
      </w:r>
    </w:p>
    <w:p w:rsid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Изготвяне на необходимите документи</w:t>
      </w:r>
    </w:p>
    <w:p w:rsid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Определяне на структурата на енергийната общност (одиторски съвет, управителен съвет, секретар, ковчежник, отговорни лица и др.)</w:t>
      </w:r>
    </w:p>
    <w:p w:rsid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Необходими споразумения с местния доставчик/оператор на електроенергия</w:t>
      </w:r>
    </w:p>
    <w:p w:rsidR="007906A8" w:rsidRPr="00F86089" w:rsidRDefault="007906A8" w:rsidP="00B01311">
      <w:pPr>
        <w:pStyle w:val="ListParagraph"/>
        <w:numPr>
          <w:ilvl w:val="0"/>
          <w:numId w:val="147"/>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Разпределение на задачите между членовете</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Също така могат да бъдат обсъждани въпроси, свързани с технически въпроси:</w:t>
      </w:r>
    </w:p>
    <w:p w:rsidR="00F86089" w:rsidRDefault="007906A8" w:rsidP="00B01311">
      <w:pPr>
        <w:pStyle w:val="ListParagraph"/>
        <w:numPr>
          <w:ilvl w:val="0"/>
          <w:numId w:val="148"/>
        </w:num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Какъв вид инсталация(и) за преобразуване на енергия и акумулиране на електроенергия трябва да се използва(т) (слънчев панел, вятърни генератори, батерии, интелиге</w:t>
      </w:r>
      <w:r w:rsidR="00FA6915">
        <w:rPr>
          <w:rFonts w:ascii="Times New Roman" w:hAnsi="Times New Roman" w:cs="Times New Roman"/>
          <w:sz w:val="24"/>
          <w:szCs w:val="24"/>
          <w:lang w:val="bg"/>
        </w:rPr>
        <w:t>нтни измервателни уреди и т.н.)?</w:t>
      </w:r>
    </w:p>
    <w:p w:rsidR="00F86089" w:rsidRDefault="007906A8" w:rsidP="00B01311">
      <w:pPr>
        <w:pStyle w:val="ListParagraph"/>
        <w:numPr>
          <w:ilvl w:val="0"/>
          <w:numId w:val="148"/>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Как да се определи местоположението и начина на сглобяване на инсталацията(ите)?</w:t>
      </w:r>
    </w:p>
    <w:p w:rsidR="00C1613F" w:rsidRPr="00F86089" w:rsidRDefault="007906A8" w:rsidP="00B01311">
      <w:pPr>
        <w:pStyle w:val="ListParagraph"/>
        <w:numPr>
          <w:ilvl w:val="0"/>
          <w:numId w:val="148"/>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Кой ще</w:t>
      </w:r>
      <w:r w:rsidR="00C1613F" w:rsidRPr="00F86089">
        <w:rPr>
          <w:rFonts w:ascii="Times New Roman" w:hAnsi="Times New Roman" w:cs="Times New Roman"/>
          <w:sz w:val="24"/>
          <w:szCs w:val="24"/>
          <w:lang w:val="bg"/>
        </w:rPr>
        <w:t xml:space="preserve"> осигури инсталациите?</w:t>
      </w:r>
    </w:p>
    <w:p w:rsidR="00F86089" w:rsidRDefault="007906A8" w:rsidP="00B01311">
      <w:pPr>
        <w:pStyle w:val="ListParagraph"/>
        <w:numPr>
          <w:ilvl w:val="0"/>
          <w:numId w:val="149"/>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Доставка и монтаж на последните</w:t>
      </w:r>
    </w:p>
    <w:p w:rsidR="00F86089" w:rsidRDefault="007906A8" w:rsidP="00B01311">
      <w:pPr>
        <w:pStyle w:val="ListParagraph"/>
        <w:numPr>
          <w:ilvl w:val="0"/>
          <w:numId w:val="149"/>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Дългосрочна поддръжка на инсталацията(ите)</w:t>
      </w:r>
    </w:p>
    <w:p w:rsidR="00F86089" w:rsidRDefault="007906A8" w:rsidP="00B01311">
      <w:pPr>
        <w:pStyle w:val="ListParagraph"/>
        <w:numPr>
          <w:ilvl w:val="0"/>
          <w:numId w:val="149"/>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lastRenderedPageBreak/>
        <w:t>Съхранение на преобразуваната в излишък електроенергия</w:t>
      </w:r>
    </w:p>
    <w:p w:rsidR="00F86089" w:rsidRDefault="007906A8" w:rsidP="00B01311">
      <w:pPr>
        <w:pStyle w:val="ListParagraph"/>
        <w:numPr>
          <w:ilvl w:val="0"/>
          <w:numId w:val="149"/>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Доклади относно преобразуваната и потребената електроенергия</w:t>
      </w:r>
    </w:p>
    <w:p w:rsidR="007906A8" w:rsidRPr="00F86089" w:rsidRDefault="007906A8" w:rsidP="00B01311">
      <w:pPr>
        <w:pStyle w:val="ListParagraph"/>
        <w:numPr>
          <w:ilvl w:val="0"/>
          <w:numId w:val="149"/>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Как да се свържете с местната/регионалната мрежа?</w:t>
      </w:r>
    </w:p>
    <w:p w:rsidR="007906A8" w:rsidRPr="00FA6915" w:rsidRDefault="007906A8" w:rsidP="00FA6915">
      <w:pPr>
        <w:spacing w:line="276" w:lineRule="auto"/>
        <w:jc w:val="both"/>
        <w:rPr>
          <w:rFonts w:ascii="Times New Roman" w:hAnsi="Times New Roman" w:cs="Times New Roman"/>
          <w:sz w:val="24"/>
          <w:szCs w:val="24"/>
          <w:lang w:val="bg"/>
        </w:rPr>
      </w:pPr>
      <w:r w:rsidRPr="00FA6915">
        <w:rPr>
          <w:rFonts w:ascii="Times New Roman" w:hAnsi="Times New Roman" w:cs="Times New Roman"/>
          <w:sz w:val="24"/>
          <w:szCs w:val="24"/>
          <w:lang w:val="bg"/>
        </w:rPr>
        <w:t>Могат да бъдат обсъдени икономически въпроси в полза на енергийната общност, като например:</w:t>
      </w:r>
    </w:p>
    <w:p w:rsidR="00F86089" w:rsidRDefault="007906A8" w:rsidP="00B01311">
      <w:pPr>
        <w:pStyle w:val="ListParagraph"/>
        <w:numPr>
          <w:ilvl w:val="0"/>
          <w:numId w:val="150"/>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Трябва ли преобразуваната като електрическа енергия енергия да се използва само вътрешно?</w:t>
      </w:r>
    </w:p>
    <w:p w:rsidR="00F86089" w:rsidRDefault="007906A8" w:rsidP="00B01311">
      <w:pPr>
        <w:pStyle w:val="ListParagraph"/>
        <w:numPr>
          <w:ilvl w:val="0"/>
          <w:numId w:val="150"/>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Ще бъде ли споделена електроенергията и с кого (извън енергийната общност)?</w:t>
      </w:r>
    </w:p>
    <w:p w:rsidR="00F86089" w:rsidRDefault="007906A8" w:rsidP="00B01311">
      <w:pPr>
        <w:pStyle w:val="ListParagraph"/>
        <w:numPr>
          <w:ilvl w:val="0"/>
          <w:numId w:val="150"/>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Желае ли енергийната общност да продаде излишъка от електроенергия и на кого?</w:t>
      </w:r>
    </w:p>
    <w:p w:rsidR="00F86089" w:rsidRDefault="007906A8" w:rsidP="00B01311">
      <w:pPr>
        <w:pStyle w:val="ListParagraph"/>
        <w:numPr>
          <w:ilvl w:val="0"/>
          <w:numId w:val="150"/>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Какви споразумения са необходими между енергийната общност и нейните членове/клиенти?</w:t>
      </w:r>
    </w:p>
    <w:p w:rsidR="007906A8" w:rsidRDefault="007906A8" w:rsidP="00B01311">
      <w:pPr>
        <w:pStyle w:val="ListParagraph"/>
        <w:numPr>
          <w:ilvl w:val="0"/>
          <w:numId w:val="150"/>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Местните и регионалните ползи от основаването на енергийната общност?</w:t>
      </w:r>
    </w:p>
    <w:p w:rsidR="00F86089" w:rsidRPr="00F86089" w:rsidRDefault="00F86089" w:rsidP="00F86089">
      <w:pPr>
        <w:pStyle w:val="ListParagraph"/>
        <w:spacing w:line="276" w:lineRule="auto"/>
        <w:jc w:val="both"/>
        <w:rPr>
          <w:rFonts w:ascii="Times New Roman" w:hAnsi="Times New Roman" w:cs="Times New Roman"/>
          <w:sz w:val="24"/>
          <w:szCs w:val="24"/>
          <w:lang w:val="bg"/>
        </w:rPr>
      </w:pPr>
    </w:p>
    <w:p w:rsidR="007906A8" w:rsidRDefault="00C1613F" w:rsidP="00C1613F">
      <w:pPr>
        <w:pStyle w:val="Heading3"/>
        <w:spacing w:line="276" w:lineRule="auto"/>
        <w:jc w:val="both"/>
        <w:rPr>
          <w:rFonts w:ascii="Times New Roman" w:hAnsi="Times New Roman" w:cs="Times New Roman"/>
          <w:color w:val="24B9C0"/>
          <w:sz w:val="28"/>
          <w:szCs w:val="28"/>
          <w:lang w:val="bg"/>
        </w:rPr>
      </w:pPr>
      <w:bookmarkStart w:id="360" w:name="bookmark477"/>
      <w:bookmarkStart w:id="361" w:name="bookmark476"/>
      <w:bookmarkStart w:id="362" w:name="_Toc203141324"/>
      <w:r>
        <w:rPr>
          <w:rFonts w:ascii="Times New Roman" w:hAnsi="Times New Roman" w:cs="Times New Roman"/>
          <w:color w:val="24B9C0"/>
          <w:sz w:val="28"/>
          <w:szCs w:val="28"/>
          <w:lang w:val="bg"/>
        </w:rPr>
        <w:t xml:space="preserve">5.6.2 </w:t>
      </w:r>
      <w:r w:rsidR="007906A8" w:rsidRPr="00C1613F">
        <w:rPr>
          <w:rFonts w:ascii="Times New Roman" w:hAnsi="Times New Roman" w:cs="Times New Roman"/>
          <w:color w:val="24B9C0"/>
          <w:sz w:val="28"/>
          <w:szCs w:val="28"/>
          <w:lang w:val="bg"/>
        </w:rPr>
        <w:t>Безплатна пробна версия и опции за приложение</w:t>
      </w:r>
      <w:bookmarkEnd w:id="360"/>
      <w:bookmarkEnd w:id="361"/>
      <w:bookmarkEnd w:id="362"/>
    </w:p>
    <w:p w:rsidR="00C1613F" w:rsidRPr="00C1613F" w:rsidRDefault="00C1613F" w:rsidP="00C1613F">
      <w:pPr>
        <w:rPr>
          <w:lang w:val="bg"/>
        </w:rPr>
      </w:pP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Тестваният до момента софтуер осигурява 14-дневен безплатен пробен период. В този случай няма да е необходимо да го инсталирате на собствен VPS или нает сървър, което е свързано с разходите и наемането на квалифицирани хора. Самото приложение може да бъде свободно изтеглено и инсталирано в предварително подготвена среда чрез github – Loomio</w:t>
      </w:r>
      <w:hyperlink w:anchor="bookmark111" w:tooltip="Current Document">
        <w:r w:rsidRPr="002E2E94">
          <w:rPr>
            <w:rStyle w:val="Hyperlink"/>
            <w:rFonts w:ascii="Times New Roman" w:hAnsi="Times New Roman" w:cs="Times New Roman"/>
            <w:sz w:val="24"/>
            <w:szCs w:val="24"/>
            <w:vertAlign w:val="superscript"/>
            <w:lang w:val="bg"/>
          </w:rPr>
          <w:footnoteReference w:id="106"/>
        </w:r>
      </w:hyperlink>
      <w:r w:rsidRPr="002E2E94">
        <w:rPr>
          <w:rFonts w:ascii="Times New Roman" w:hAnsi="Times New Roman" w:cs="Times New Roman"/>
          <w:sz w:val="24"/>
          <w:szCs w:val="24"/>
          <w:vertAlign w:val="superscript"/>
          <w:lang w:val="bg"/>
        </w:rPr>
        <w:t>.</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Що се отнася до техническите изисквания по отношение на последното (ако инсталираме приложението на нашия собствен сървър), опциите са чрез докера</w:t>
      </w:r>
      <w:hyperlink w:anchor="bookmark112" w:tooltip="Current Document">
        <w:r w:rsidRPr="002E2E94">
          <w:rPr>
            <w:rStyle w:val="Hyperlink"/>
            <w:rFonts w:ascii="Times New Roman" w:hAnsi="Times New Roman" w:cs="Times New Roman"/>
            <w:sz w:val="24"/>
            <w:szCs w:val="24"/>
            <w:vertAlign w:val="superscript"/>
            <w:lang w:val="bg"/>
          </w:rPr>
          <w:footnoteReference w:id="107"/>
        </w:r>
      </w:hyperlink>
      <w:r w:rsidRPr="00C1613F">
        <w:rPr>
          <w:rFonts w:ascii="Times New Roman" w:hAnsi="Times New Roman" w:cs="Times New Roman"/>
          <w:sz w:val="24"/>
          <w:szCs w:val="24"/>
          <w:lang w:val="bg"/>
        </w:rPr>
        <w:t xml:space="preserve"> или ръчно да инсталирате всички пакети, необходими за работата му на операционната система</w:t>
      </w:r>
      <w:hyperlink w:anchor="bookmark113" w:tooltip="Current Document">
        <w:r w:rsidRPr="002E2E94">
          <w:rPr>
            <w:rStyle w:val="Hyperlink"/>
            <w:rFonts w:ascii="Times New Roman" w:hAnsi="Times New Roman" w:cs="Times New Roman"/>
            <w:sz w:val="24"/>
            <w:szCs w:val="24"/>
            <w:vertAlign w:val="superscript"/>
            <w:lang w:val="bg"/>
          </w:rPr>
          <w:footnoteReference w:id="108"/>
        </w:r>
      </w:hyperlink>
      <w:r w:rsidRPr="002E2E94">
        <w:rPr>
          <w:rFonts w:ascii="Times New Roman" w:hAnsi="Times New Roman" w:cs="Times New Roman"/>
          <w:sz w:val="24"/>
          <w:szCs w:val="24"/>
          <w:vertAlign w:val="superscript"/>
          <w:lang w:val="bg"/>
        </w:rPr>
        <w:t>.</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Примерните пакети при инсталиране под Debian / Ubuntu са представени по-долу:</w:t>
      </w:r>
    </w:p>
    <w:p w:rsidR="00C1613F" w:rsidRDefault="007906A8" w:rsidP="00C1613F">
      <w:pPr>
        <w:spacing w:after="0"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Актуализация на sudo apt-get</w:t>
      </w:r>
    </w:p>
    <w:p w:rsidR="007906A8" w:rsidRDefault="007906A8" w:rsidP="00C1613F">
      <w:pPr>
        <w:spacing w:after="0" w:line="276" w:lineRule="auto"/>
        <w:jc w:val="both"/>
        <w:rPr>
          <w:lang w:val="bg"/>
        </w:rPr>
      </w:pPr>
      <w:r w:rsidRPr="00C1613F">
        <w:rPr>
          <w:rFonts w:ascii="Times New Roman" w:hAnsi="Times New Roman" w:cs="Times New Roman"/>
          <w:sz w:val="24"/>
          <w:szCs w:val="24"/>
          <w:lang w:val="bg"/>
        </w:rPr>
        <w:t>sudo apt-get инсталирате postgresql postgresql-contrib build-essential \</w:t>
      </w:r>
      <w:r w:rsidRPr="007906A8">
        <w:rPr>
          <w:lang w:val="bg"/>
        </w:rPr>
        <w:t>libssl-dev libreadline-dev zlib1g-dev \libpq-dev libffi-dev libmagickwand-dev \ imagemagick python3 redis</w:t>
      </w:r>
    </w:p>
    <w:p w:rsidR="000E6421" w:rsidRPr="00C1613F" w:rsidRDefault="000E6421" w:rsidP="00C1613F">
      <w:pPr>
        <w:spacing w:after="0" w:line="276" w:lineRule="auto"/>
        <w:jc w:val="both"/>
        <w:rPr>
          <w:rFonts w:ascii="Times New Roman" w:hAnsi="Times New Roman" w:cs="Times New Roman"/>
          <w:sz w:val="24"/>
          <w:szCs w:val="24"/>
          <w:lang w:val="bg"/>
        </w:rPr>
      </w:pP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Повече информация относно пакета Debian на Loomio може да бъде намерена</w:t>
      </w:r>
      <w:hyperlink w:anchor="bookmark114" w:tooltip="Current Document">
        <w:r w:rsidRPr="002E2E94">
          <w:rPr>
            <w:rStyle w:val="Hyperlink"/>
            <w:rFonts w:ascii="Times New Roman" w:hAnsi="Times New Roman" w:cs="Times New Roman"/>
            <w:sz w:val="24"/>
            <w:szCs w:val="24"/>
            <w:vertAlign w:val="superscript"/>
            <w:lang w:val="bg"/>
          </w:rPr>
          <w:footnoteReference w:id="109"/>
        </w:r>
      </w:hyperlink>
      <w:r w:rsidRPr="00C1613F">
        <w:rPr>
          <w:rFonts w:ascii="Times New Roman" w:hAnsi="Times New Roman" w:cs="Times New Roman"/>
          <w:sz w:val="24"/>
          <w:szCs w:val="24"/>
          <w:lang w:val="bg"/>
        </w:rPr>
        <w:t>, както и ръководство за инсталиране</w:t>
      </w:r>
      <w:hyperlink w:anchor="bookmark115" w:tooltip="Current Document">
        <w:r w:rsidRPr="002E2E94">
          <w:rPr>
            <w:rStyle w:val="Hyperlink"/>
            <w:rFonts w:ascii="Times New Roman" w:hAnsi="Times New Roman" w:cs="Times New Roman"/>
            <w:sz w:val="24"/>
            <w:szCs w:val="24"/>
            <w:vertAlign w:val="superscript"/>
            <w:lang w:val="bg"/>
          </w:rPr>
          <w:footnoteReference w:id="110"/>
        </w:r>
      </w:hyperlink>
      <w:r w:rsidRPr="002E2E94">
        <w:rPr>
          <w:rFonts w:ascii="Times New Roman" w:hAnsi="Times New Roman" w:cs="Times New Roman"/>
          <w:sz w:val="24"/>
          <w:szCs w:val="24"/>
          <w:vertAlign w:val="superscript"/>
          <w:lang w:val="bg"/>
        </w:rPr>
        <w:t>.</w:t>
      </w:r>
      <w:r w:rsidRPr="00C1613F">
        <w:rPr>
          <w:rFonts w:ascii="Times New Roman" w:hAnsi="Times New Roman" w:cs="Times New Roman"/>
          <w:sz w:val="24"/>
          <w:szCs w:val="24"/>
          <w:lang w:val="bg"/>
        </w:rPr>
        <w:t xml:space="preserve"> Много е важно да се прецени дали можем да инвестираме в дългосрочни ресурси като инсталиране и поддръжка на софтуера по време, когато членовете на енергийната общност вземат своите решения. Използването на онлайн инструмент ще осигури възможности за сътрудничество, съобщения в реално време, когато има активност на нишка или е достигнат крайният срок за вземане на решение.</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В това отношение Loomio предвижда:</w:t>
      </w:r>
    </w:p>
    <w:p w:rsid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Дискусии по дадена тема</w:t>
      </w:r>
    </w:p>
    <w:p w:rsid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lastRenderedPageBreak/>
        <w:t>Категоризиране на дискусията (тагове)</w:t>
      </w:r>
    </w:p>
    <w:p w:rsid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Аудио- и видеозапис в реално време</w:t>
      </w:r>
    </w:p>
    <w:p w:rsid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Работа с таблици и връзки чрез WYSIWYG</w:t>
      </w:r>
    </w:p>
    <w:p w:rsid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Качване на файл, който споделя запаметеното място за съхранение</w:t>
      </w:r>
    </w:p>
    <w:p w:rsidR="007906A8" w:rsidRPr="00F86089" w:rsidRDefault="007906A8" w:rsidP="00B01311">
      <w:pPr>
        <w:pStyle w:val="ListParagraph"/>
        <w:numPr>
          <w:ilvl w:val="0"/>
          <w:numId w:val="151"/>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Текстово форматиране и т.н.</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Можете също така да поканите други хора да участват в групата, да станат нейни членове, за да се включат в дискусията и да им бъдат възложени задачи. В пробната версия на Лумио групата се състои от десет души. В началния план броят нараства до тридесет, без възможност за създаване на подгрупи.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Използвайки същия модел, човек се обръща към членовете на общността за съвет, за да ги запознае с приложението и да ги уведоми, че е в ролята на ръководител на екип или модератор.</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По отношение на решенията е възможно:</w:t>
      </w:r>
    </w:p>
    <w:p w:rsidR="00F86089" w:rsidRDefault="007906A8" w:rsidP="00B01311">
      <w:pPr>
        <w:pStyle w:val="ListParagraph"/>
        <w:numPr>
          <w:ilvl w:val="0"/>
          <w:numId w:val="152"/>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Поискайте обратна връзка в определен период от време</w:t>
      </w:r>
    </w:p>
    <w:p w:rsidR="00F86089" w:rsidRDefault="007906A8" w:rsidP="00B01311">
      <w:pPr>
        <w:pStyle w:val="ListParagraph"/>
        <w:numPr>
          <w:ilvl w:val="0"/>
          <w:numId w:val="152"/>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Попитайте за съвет</w:t>
      </w:r>
    </w:p>
    <w:p w:rsidR="00F86089" w:rsidRDefault="007906A8" w:rsidP="00B01311">
      <w:pPr>
        <w:pStyle w:val="ListParagraph"/>
        <w:numPr>
          <w:ilvl w:val="0"/>
          <w:numId w:val="152"/>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Поискайте съгласие</w:t>
      </w:r>
    </w:p>
    <w:p w:rsidR="00F86089" w:rsidRDefault="007906A8" w:rsidP="00B01311">
      <w:pPr>
        <w:pStyle w:val="ListParagraph"/>
        <w:numPr>
          <w:ilvl w:val="0"/>
          <w:numId w:val="152"/>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Поискайте съгласието на групата</w:t>
      </w:r>
    </w:p>
    <w:p w:rsidR="007906A8" w:rsidRPr="00F86089" w:rsidRDefault="007906A8" w:rsidP="00B01311">
      <w:pPr>
        <w:pStyle w:val="ListParagraph"/>
        <w:numPr>
          <w:ilvl w:val="0"/>
          <w:numId w:val="152"/>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Поискайте степенувано съгласие</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Заявлението дава възможност за използване на предварително определени отговори като „Да“, „Не“, „Въздържане“, „Несъгласие“ и „Блокиране“ (предложете вето) за определено предложение. Има неограничени възможности и създателят на нишката трябва да ги настрои.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Анкетите могат да се добавят като:</w:t>
      </w:r>
    </w:p>
    <w:p w:rsidR="00F86089" w:rsidRDefault="007906A8" w:rsidP="00B01311">
      <w:pPr>
        <w:pStyle w:val="ListParagraph"/>
        <w:numPr>
          <w:ilvl w:val="0"/>
          <w:numId w:val="153"/>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Пример, с една или повече възможни опции</w:t>
      </w:r>
    </w:p>
    <w:p w:rsidR="00F86089" w:rsidRDefault="007906A8" w:rsidP="00B01311">
      <w:pPr>
        <w:pStyle w:val="ListParagraph"/>
        <w:numPr>
          <w:ilvl w:val="0"/>
          <w:numId w:val="153"/>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Отговор, основан на резултата</w:t>
      </w:r>
    </w:p>
    <w:p w:rsidR="00F86089" w:rsidRDefault="007906A8" w:rsidP="00B01311">
      <w:pPr>
        <w:pStyle w:val="ListParagraph"/>
        <w:numPr>
          <w:ilvl w:val="0"/>
          <w:numId w:val="153"/>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Отговор, основан на количеството</w:t>
      </w:r>
    </w:p>
    <w:p w:rsidR="007906A8" w:rsidRPr="00F86089" w:rsidRDefault="007906A8" w:rsidP="00B01311">
      <w:pPr>
        <w:pStyle w:val="ListParagraph"/>
        <w:numPr>
          <w:ilvl w:val="0"/>
          <w:numId w:val="153"/>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 xml:space="preserve">Класиране </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Всички тези опции дават инструменти за създаване на анкети, отговарящи на нуждите на общността. Можете да създавате теми и анкети за бъдещи срещи като:</w:t>
      </w:r>
    </w:p>
    <w:p w:rsidR="00F86089" w:rsidRDefault="00C1613F" w:rsidP="00B01311">
      <w:pPr>
        <w:pStyle w:val="ListParagraph"/>
        <w:numPr>
          <w:ilvl w:val="0"/>
          <w:numId w:val="154"/>
        </w:numPr>
        <w:spacing w:line="276" w:lineRule="auto"/>
        <w:jc w:val="both"/>
        <w:rPr>
          <w:rFonts w:ascii="Times New Roman" w:hAnsi="Times New Roman" w:cs="Times New Roman"/>
          <w:sz w:val="24"/>
          <w:szCs w:val="24"/>
          <w:lang w:val="bg"/>
        </w:rPr>
      </w:pPr>
      <w:r>
        <w:rPr>
          <w:rFonts w:ascii="Times New Roman" w:hAnsi="Times New Roman" w:cs="Times New Roman"/>
          <w:sz w:val="24"/>
          <w:szCs w:val="24"/>
          <w:lang w:val="bg"/>
        </w:rPr>
        <w:t>Ден на срещат</w:t>
      </w:r>
    </w:p>
    <w:p w:rsidR="00F86089" w:rsidRDefault="007906A8" w:rsidP="00B01311">
      <w:pPr>
        <w:pStyle w:val="ListParagraph"/>
        <w:numPr>
          <w:ilvl w:val="0"/>
          <w:numId w:val="154"/>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Начален час</w:t>
      </w:r>
    </w:p>
    <w:p w:rsidR="007906A8" w:rsidRPr="00F86089" w:rsidRDefault="007906A8" w:rsidP="00B01311">
      <w:pPr>
        <w:pStyle w:val="ListParagraph"/>
        <w:numPr>
          <w:ilvl w:val="0"/>
          <w:numId w:val="154"/>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Продължителност</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Също така може да се изпращат покани до бъдещи членове за участие, в които предварително определеният избор е ограничен до потвърждаване или отхвърляне. Трябва също така да се спомене, че софтуерът осигурява експортиране на всички данни на нишка в CSV файл, който може да бъде допълнително анализиран и обработен.</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За съжаление, въпреки всички споменати по-горе предимства, софтуерът все още няма превод на български език. В тази връзка членовете на бъдещата ЕК имат следните възможности:</w:t>
      </w:r>
    </w:p>
    <w:p w:rsidR="00C1613F" w:rsidRPr="00C1613F" w:rsidRDefault="007906A8" w:rsidP="00B01311">
      <w:pPr>
        <w:pStyle w:val="ListParagraph"/>
        <w:numPr>
          <w:ilvl w:val="0"/>
          <w:numId w:val="155"/>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lastRenderedPageBreak/>
        <w:t>Използвайте го на английски език</w:t>
      </w:r>
    </w:p>
    <w:p w:rsidR="007906A8" w:rsidRPr="00C1613F" w:rsidRDefault="007906A8" w:rsidP="00B01311">
      <w:pPr>
        <w:pStyle w:val="ListParagraph"/>
        <w:numPr>
          <w:ilvl w:val="0"/>
          <w:numId w:val="155"/>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Наемете специалист, който може да преведе низовете в потребителския интерфейс</w:t>
      </w:r>
      <w:r w:rsidR="00C1613F" w:rsidRPr="00C1613F">
        <w:rPr>
          <w:rFonts w:ascii="Times New Roman" w:hAnsi="Times New Roman" w:cs="Times New Roman"/>
          <w:sz w:val="24"/>
          <w:szCs w:val="24"/>
          <w:lang w:val="bg"/>
        </w:rPr>
        <w:t xml:space="preserve">. </w:t>
      </w:r>
      <w:r w:rsidRPr="00C1613F">
        <w:rPr>
          <w:rFonts w:ascii="Times New Roman" w:hAnsi="Times New Roman" w:cs="Times New Roman"/>
          <w:sz w:val="24"/>
          <w:szCs w:val="24"/>
          <w:lang w:val="bg"/>
        </w:rPr>
        <w:t>Използвайте приложението на близък до българския език (например руски).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Предлагат се някои вече налични преводи.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Въпреки езиковия недостатък, приложението трябва да се разглежда като модерно, гъвкаво и отговарящо на нуждите на всяка общност, която трябва да взема решения. По този начин могат да се положат усилия в посока на неговия превод, за да се улесни използването му от членове, които имат езикови затруднения. Друга възможност може да бъде използването на вграден браузър преводач. По този начин елементите на интерфейса на приложението ще бъдат преведени с възможно отклонение или пропуск. Трябва да се има предвид, че ако не е предварително създаден на майчиния език на потребителя, винаги е необходим превод, който се основава на низове, намиращи се във файлове или в базата данни.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Разбира се, общността има избор между инсталиране на приложението на собствен сървър, наемане на специалист или разчитане на опитен член, или закупуване на годишен абонамент за използване на приложението, включително хостинга му на сървъра на разработчика. Годишният абонамент започва от $ 399, а пакетът осигурява:</w:t>
      </w:r>
    </w:p>
    <w:p w:rsidR="00F86089" w:rsidRDefault="00C1613F" w:rsidP="00B01311">
      <w:pPr>
        <w:pStyle w:val="ListParagraph"/>
        <w:numPr>
          <w:ilvl w:val="0"/>
          <w:numId w:val="156"/>
        </w:num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До 30 членове</w:t>
      </w:r>
    </w:p>
    <w:p w:rsidR="00F86089" w:rsidRDefault="007906A8" w:rsidP="00B01311">
      <w:pPr>
        <w:pStyle w:val="ListParagraph"/>
        <w:numPr>
          <w:ilvl w:val="0"/>
          <w:numId w:val="156"/>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Няма подгрупи</w:t>
      </w:r>
    </w:p>
    <w:p w:rsidR="00F86089" w:rsidRDefault="007906A8" w:rsidP="00B01311">
      <w:pPr>
        <w:pStyle w:val="ListParagraph"/>
        <w:numPr>
          <w:ilvl w:val="0"/>
          <w:numId w:val="156"/>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Местоположение на сървъра в САЩ, Европа или Австралия</w:t>
      </w:r>
    </w:p>
    <w:p w:rsidR="007906A8" w:rsidRPr="00F86089" w:rsidRDefault="007906A8" w:rsidP="00B01311">
      <w:pPr>
        <w:pStyle w:val="ListParagraph"/>
        <w:numPr>
          <w:ilvl w:val="0"/>
          <w:numId w:val="156"/>
        </w:numPr>
        <w:spacing w:line="276" w:lineRule="auto"/>
        <w:jc w:val="both"/>
        <w:rPr>
          <w:rFonts w:ascii="Times New Roman" w:hAnsi="Times New Roman" w:cs="Times New Roman"/>
          <w:sz w:val="24"/>
          <w:szCs w:val="24"/>
          <w:lang w:val="bg"/>
        </w:rPr>
      </w:pPr>
      <w:r w:rsidRPr="00F86089">
        <w:rPr>
          <w:rFonts w:ascii="Times New Roman" w:hAnsi="Times New Roman" w:cs="Times New Roman"/>
          <w:sz w:val="24"/>
          <w:szCs w:val="24"/>
          <w:lang w:val="bg"/>
        </w:rPr>
        <w:t>Техническа помощ</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В случай, че организацията, която иска да закупи абонаментен план, е от нетърговски тип, тогава цената за стартовия пакет се намалява до 299$ за 12 месеца. Интуитивното заключение е, че инсталирането и конфигурирането на уеб сървър, както и годишните разходи за виртуален или специализиран такъв, трябва да надхвърлят тази инвестиция. Междинната инвестиция за VPS е около 25 лв. месечно. Първоначалната инсталация на сървъра и настройката на приложението могат да надхвърлят 300 лв. Месечната техническа поддръжка на сървъра е 50 или повече лева. Така имаме годишна инвестиция от около, или над 1000 лв. В случай, че използваме сървъра за преводи на потребителски интерфейс, за информационен хъб за файлове, споделени и използвани от общността, както и за хостинг на нейния уебсайт, инвестицията е оправдана. Поради това на бъдещите потребители на приложения може да се препоръча да направят проучване относно инвестициите и да вземат решение, свързано с един от предложените варианти.</w:t>
      </w: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Би могло да се твърди, че 12-месечният срок е достатъчен, за да се вземат решения относно първите стъпки в посока на създаване на ЕО. От друга страна, през целия график могат да възникнат нови въпроси, свързани с бъдещи инсталации и т.н. Ако потребителите вече са запознати с приложението, ще бъде разумно то да е на разположение за по-дълъг период, ако участва основният процес на създаване на ЕО.</w:t>
      </w:r>
    </w:p>
    <w:p w:rsidR="007906A8" w:rsidRDefault="00C1613F" w:rsidP="00C1613F">
      <w:pPr>
        <w:pStyle w:val="Heading3"/>
        <w:spacing w:line="276" w:lineRule="auto"/>
        <w:jc w:val="both"/>
        <w:rPr>
          <w:rFonts w:ascii="Times New Roman" w:hAnsi="Times New Roman" w:cs="Times New Roman"/>
          <w:color w:val="24B1C0"/>
          <w:sz w:val="28"/>
          <w:szCs w:val="28"/>
          <w:lang w:val="bg"/>
        </w:rPr>
      </w:pPr>
      <w:bookmarkStart w:id="368" w:name="bookmark480"/>
      <w:bookmarkStart w:id="369" w:name="bookmark479"/>
      <w:bookmarkStart w:id="370" w:name="_Toc203141325"/>
      <w:r>
        <w:rPr>
          <w:rFonts w:ascii="Times New Roman" w:hAnsi="Times New Roman" w:cs="Times New Roman"/>
          <w:color w:val="24B1C0"/>
          <w:sz w:val="28"/>
          <w:szCs w:val="28"/>
          <w:lang w:val="bg"/>
        </w:rPr>
        <w:t xml:space="preserve">5.6.3 </w:t>
      </w:r>
      <w:r w:rsidR="007906A8" w:rsidRPr="00C1613F">
        <w:rPr>
          <w:rFonts w:ascii="Times New Roman" w:hAnsi="Times New Roman" w:cs="Times New Roman"/>
          <w:color w:val="24B1C0"/>
          <w:sz w:val="28"/>
          <w:szCs w:val="28"/>
          <w:lang w:val="bg"/>
        </w:rPr>
        <w:t>Документация</w:t>
      </w:r>
      <w:bookmarkEnd w:id="368"/>
      <w:bookmarkEnd w:id="369"/>
      <w:bookmarkEnd w:id="370"/>
    </w:p>
    <w:p w:rsidR="00C1613F" w:rsidRPr="00C1613F" w:rsidRDefault="00C1613F" w:rsidP="00C1613F">
      <w:pPr>
        <w:rPr>
          <w:lang w:val="bg"/>
        </w:rPr>
      </w:pPr>
    </w:p>
    <w:p w:rsidR="007906A8"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lastRenderedPageBreak/>
        <w:t>Софтуерът за вземане на решения разполага с много документация относно неговото използване и примери</w:t>
      </w:r>
      <w:hyperlink w:anchor="bookmark116" w:tooltip="Current Document">
        <w:r w:rsidRPr="002E2E94">
          <w:rPr>
            <w:rStyle w:val="Hyperlink"/>
            <w:rFonts w:ascii="Times New Roman" w:hAnsi="Times New Roman" w:cs="Times New Roman"/>
            <w:sz w:val="24"/>
            <w:szCs w:val="24"/>
            <w:vertAlign w:val="superscript"/>
            <w:lang w:val="bg"/>
          </w:rPr>
          <w:footnoteReference w:id="111"/>
        </w:r>
      </w:hyperlink>
      <w:r w:rsidRPr="002E2E94">
        <w:rPr>
          <w:rFonts w:ascii="Times New Roman" w:hAnsi="Times New Roman" w:cs="Times New Roman"/>
          <w:sz w:val="24"/>
          <w:szCs w:val="24"/>
          <w:vertAlign w:val="superscript"/>
          <w:lang w:val="bg"/>
        </w:rPr>
        <w:t>.</w:t>
      </w:r>
      <w:r w:rsidRPr="00C1613F">
        <w:rPr>
          <w:rFonts w:ascii="Times New Roman" w:hAnsi="Times New Roman" w:cs="Times New Roman"/>
          <w:sz w:val="24"/>
          <w:szCs w:val="24"/>
          <w:lang w:val="bg"/>
        </w:rPr>
        <w:t xml:space="preserve"> Всеки въпрос може да бъде категоризиран с помощта на таксономия (тагове). Последните могат да бъдат създадени от създателя на нишката и да работят само в обхвата на групата. Коментарите са базирани на конци, което дава възможност да ги следвате в дървовидна структура, както и да закачите конкретна дискусия под основната тема. Коментарите в темите могат да бъдат редактирани или изтрити от модератора. Човек може да се обърне към някого директно в системата, отново в нишка-базирано съобщение, в което човек може да добави опции за вземане на решения. По този начин инструментите са винаги на разположение. След като определите краен срок за дадена тема, на имейла на всеки член на групата се получава уведомление. Възможно е да зададете уведомление за всяка дейност нишка. Уведомленията се получават в реално време в системата и всеки член на групата може да създаде анкета или нишка по определена тема и да я публикува. За да работи уведомлението по електронната поща, то трябва да има: 1) създаване на сървър за електронна поща и 2) SPF и DMARC записи за домейна. Опцията е да използвате външен сървър за електронна поща.</w:t>
      </w:r>
    </w:p>
    <w:p w:rsidR="000E6421" w:rsidRPr="00C1613F" w:rsidRDefault="000E6421" w:rsidP="00C1613F">
      <w:pPr>
        <w:spacing w:line="276" w:lineRule="auto"/>
        <w:jc w:val="both"/>
        <w:rPr>
          <w:rFonts w:ascii="Times New Roman" w:hAnsi="Times New Roman" w:cs="Times New Roman"/>
          <w:sz w:val="24"/>
          <w:szCs w:val="24"/>
          <w:lang w:val="bg"/>
        </w:rPr>
      </w:pPr>
    </w:p>
    <w:p w:rsidR="007906A8" w:rsidRDefault="00C1613F" w:rsidP="00C1613F">
      <w:pPr>
        <w:pStyle w:val="Heading3"/>
        <w:spacing w:line="276" w:lineRule="auto"/>
        <w:jc w:val="both"/>
        <w:rPr>
          <w:rFonts w:ascii="Times New Roman" w:hAnsi="Times New Roman" w:cs="Times New Roman"/>
          <w:color w:val="24B1C0"/>
          <w:sz w:val="28"/>
          <w:szCs w:val="28"/>
          <w:lang w:val="bg"/>
        </w:rPr>
      </w:pPr>
      <w:bookmarkStart w:id="372" w:name="bookmark483"/>
      <w:bookmarkStart w:id="373" w:name="bookmark482"/>
      <w:bookmarkStart w:id="374" w:name="_Toc203141326"/>
      <w:r>
        <w:rPr>
          <w:rFonts w:ascii="Times New Roman" w:hAnsi="Times New Roman" w:cs="Times New Roman"/>
          <w:color w:val="24B1C0"/>
          <w:sz w:val="28"/>
          <w:szCs w:val="28"/>
          <w:lang w:val="bg"/>
        </w:rPr>
        <w:t xml:space="preserve">5.6.4 </w:t>
      </w:r>
      <w:r w:rsidR="007906A8" w:rsidRPr="00C1613F">
        <w:rPr>
          <w:rFonts w:ascii="Times New Roman" w:hAnsi="Times New Roman" w:cs="Times New Roman"/>
          <w:color w:val="24B1C0"/>
          <w:sz w:val="28"/>
          <w:szCs w:val="28"/>
          <w:lang w:val="bg"/>
        </w:rPr>
        <w:t>Софтуер за управление на енергията</w:t>
      </w:r>
      <w:bookmarkEnd w:id="372"/>
      <w:bookmarkEnd w:id="373"/>
      <w:bookmarkEnd w:id="374"/>
    </w:p>
    <w:p w:rsidR="00C1613F" w:rsidRPr="00C1613F" w:rsidRDefault="00C1613F" w:rsidP="00C1613F">
      <w:pPr>
        <w:rPr>
          <w:lang w:val="bg"/>
        </w:rPr>
      </w:pP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Препоръките относно софтуера, който може да се използва в полза на ЕК, няма да бъдат пълни, ако не вземем предвид тази, открита наскоро от авторите. Приложението отново се основава на отворен код и е свободно за използване, което дава възможност за мониторинг и управление на електроенергията.</w:t>
      </w:r>
    </w:p>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Таблица 5 — Основни връзки във връзка с проекта openems</w:t>
      </w:r>
    </w:p>
    <w:tbl>
      <w:tblPr>
        <w:tblOverlap w:val="never"/>
        <w:tblW w:w="0" w:type="auto"/>
        <w:jc w:val="center"/>
        <w:tblLayout w:type="fixed"/>
        <w:tblCellMar>
          <w:left w:w="10" w:type="dxa"/>
          <w:right w:w="10" w:type="dxa"/>
        </w:tblCellMar>
        <w:tblLook w:val="04A0" w:firstRow="1" w:lastRow="0" w:firstColumn="1" w:lastColumn="0" w:noHBand="0" w:noVBand="1"/>
      </w:tblPr>
      <w:tblGrid>
        <w:gridCol w:w="2741"/>
        <w:gridCol w:w="6293"/>
      </w:tblGrid>
      <w:tr w:rsidR="007906A8" w:rsidRPr="00C1613F" w:rsidTr="005A0A7F">
        <w:trPr>
          <w:trHeight w:hRule="exact" w:val="259"/>
          <w:jc w:val="center"/>
        </w:trPr>
        <w:tc>
          <w:tcPr>
            <w:tcW w:w="2741" w:type="dxa"/>
            <w:tcBorders>
              <w:top w:val="single" w:sz="4" w:space="0" w:color="auto"/>
              <w:left w:val="single" w:sz="4" w:space="0" w:color="auto"/>
            </w:tcBorders>
            <w:shd w:val="clear" w:color="auto" w:fill="D2EFEF"/>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Изтегляне на проекта:</w:t>
            </w:r>
          </w:p>
        </w:tc>
        <w:tc>
          <w:tcPr>
            <w:tcW w:w="6293" w:type="dxa"/>
            <w:tcBorders>
              <w:top w:val="single" w:sz="4" w:space="0" w:color="auto"/>
              <w:left w:val="single" w:sz="4" w:space="0" w:color="auto"/>
              <w:right w:val="single" w:sz="4" w:space="0" w:color="auto"/>
            </w:tcBorders>
            <w:shd w:val="clear" w:color="auto" w:fill="D2EFEF"/>
            <w:vAlign w:val="bottom"/>
          </w:tcPr>
          <w:p w:rsidR="007906A8" w:rsidRPr="00C1613F" w:rsidRDefault="00567EA3" w:rsidP="007906A8">
            <w:pPr>
              <w:rPr>
                <w:rFonts w:ascii="Times New Roman" w:hAnsi="Times New Roman" w:cs="Times New Roman"/>
                <w:lang w:val="bg"/>
              </w:rPr>
            </w:pPr>
            <w:hyperlink r:id="rId55" w:history="1">
              <w:r w:rsidR="007906A8" w:rsidRPr="00C1613F">
                <w:rPr>
                  <w:rStyle w:val="Hyperlink"/>
                  <w:rFonts w:ascii="Times New Roman" w:hAnsi="Times New Roman" w:cs="Times New Roman"/>
                  <w:lang w:val="bg"/>
                </w:rPr>
                <w:t>https://github.com/OpenEMS/openems</w:t>
              </w:r>
            </w:hyperlink>
          </w:p>
        </w:tc>
      </w:tr>
      <w:tr w:rsidR="007906A8" w:rsidRPr="00C1613F" w:rsidTr="005A0A7F">
        <w:trPr>
          <w:trHeight w:hRule="exact" w:val="254"/>
          <w:jc w:val="center"/>
        </w:trPr>
        <w:tc>
          <w:tcPr>
            <w:tcW w:w="2741" w:type="dxa"/>
            <w:tcBorders>
              <w:top w:val="single" w:sz="4" w:space="0" w:color="auto"/>
              <w:left w:val="single" w:sz="4" w:space="0" w:color="auto"/>
            </w:tcBorders>
            <w:shd w:val="clear" w:color="auto" w:fill="auto"/>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Уебсайт на проекта</w:t>
            </w:r>
          </w:p>
        </w:tc>
        <w:tc>
          <w:tcPr>
            <w:tcW w:w="6293" w:type="dxa"/>
            <w:tcBorders>
              <w:top w:val="single" w:sz="4" w:space="0" w:color="auto"/>
              <w:left w:val="single" w:sz="4" w:space="0" w:color="auto"/>
              <w:right w:val="single" w:sz="4" w:space="0" w:color="auto"/>
            </w:tcBorders>
            <w:shd w:val="clear" w:color="auto" w:fill="auto"/>
            <w:vAlign w:val="bottom"/>
          </w:tcPr>
          <w:p w:rsidR="007906A8" w:rsidRPr="00C1613F" w:rsidRDefault="00567EA3" w:rsidP="007906A8">
            <w:pPr>
              <w:rPr>
                <w:rFonts w:ascii="Times New Roman" w:hAnsi="Times New Roman" w:cs="Times New Roman"/>
                <w:lang w:val="bg"/>
              </w:rPr>
            </w:pPr>
            <w:hyperlink r:id="rId56" w:history="1">
              <w:r w:rsidR="007906A8" w:rsidRPr="00C1613F">
                <w:rPr>
                  <w:rStyle w:val="Hyperlink"/>
                  <w:rFonts w:ascii="Times New Roman" w:hAnsi="Times New Roman" w:cs="Times New Roman"/>
                  <w:lang w:val="bg"/>
                </w:rPr>
                <w:t>https://openems.io/association/</w:t>
              </w:r>
            </w:hyperlink>
          </w:p>
        </w:tc>
      </w:tr>
      <w:tr w:rsidR="007906A8" w:rsidRPr="00C1613F" w:rsidTr="005A0A7F">
        <w:trPr>
          <w:trHeight w:hRule="exact" w:val="235"/>
          <w:jc w:val="center"/>
        </w:trPr>
        <w:tc>
          <w:tcPr>
            <w:tcW w:w="2741" w:type="dxa"/>
            <w:tcBorders>
              <w:top w:val="single" w:sz="4" w:space="0" w:color="auto"/>
              <w:left w:val="single" w:sz="4" w:space="0" w:color="auto"/>
            </w:tcBorders>
            <w:shd w:val="clear" w:color="auto" w:fill="D2EFEF"/>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Документация:</w:t>
            </w:r>
          </w:p>
        </w:tc>
        <w:tc>
          <w:tcPr>
            <w:tcW w:w="6293" w:type="dxa"/>
            <w:tcBorders>
              <w:top w:val="single" w:sz="4" w:space="0" w:color="auto"/>
              <w:left w:val="single" w:sz="4" w:space="0" w:color="auto"/>
              <w:right w:val="single" w:sz="4" w:space="0" w:color="auto"/>
            </w:tcBorders>
            <w:shd w:val="clear" w:color="auto" w:fill="D2EFEF"/>
            <w:vAlign w:val="bottom"/>
          </w:tcPr>
          <w:p w:rsidR="007906A8" w:rsidRPr="00C1613F" w:rsidRDefault="00567EA3" w:rsidP="007906A8">
            <w:pPr>
              <w:rPr>
                <w:rFonts w:ascii="Times New Roman" w:hAnsi="Times New Roman" w:cs="Times New Roman"/>
                <w:lang w:val="bg"/>
              </w:rPr>
            </w:pPr>
            <w:hyperlink r:id="rId57" w:history="1">
              <w:r w:rsidR="007906A8" w:rsidRPr="00C1613F">
                <w:rPr>
                  <w:rStyle w:val="Hyperlink"/>
                  <w:rFonts w:ascii="Times New Roman" w:hAnsi="Times New Roman" w:cs="Times New Roman"/>
                  <w:lang w:val="bg"/>
                </w:rPr>
                <w:t>https://openems.github.io/openems.io/openems/latest/introduction.html</w:t>
              </w:r>
            </w:hyperlink>
            <w:r w:rsidR="007906A8" w:rsidRPr="00C1613F">
              <w:rPr>
                <w:rFonts w:ascii="Times New Roman" w:hAnsi="Times New Roman" w:cs="Times New Roman"/>
                <w:lang w:val="bg"/>
              </w:rPr>
              <w:t xml:space="preserve"> (на английски)</w:t>
            </w:r>
          </w:p>
        </w:tc>
      </w:tr>
      <w:tr w:rsidR="007906A8" w:rsidRPr="00C1613F" w:rsidTr="005A0A7F">
        <w:trPr>
          <w:trHeight w:hRule="exact" w:val="274"/>
          <w:jc w:val="center"/>
        </w:trPr>
        <w:tc>
          <w:tcPr>
            <w:tcW w:w="2741" w:type="dxa"/>
            <w:tcBorders>
              <w:top w:val="single" w:sz="4" w:space="0" w:color="auto"/>
              <w:left w:val="single" w:sz="4" w:space="0" w:color="auto"/>
            </w:tcBorders>
            <w:shd w:val="clear" w:color="auto" w:fill="auto"/>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Форум, ръководен от общността</w:t>
            </w:r>
          </w:p>
        </w:tc>
        <w:tc>
          <w:tcPr>
            <w:tcW w:w="6293" w:type="dxa"/>
            <w:tcBorders>
              <w:top w:val="single" w:sz="4" w:space="0" w:color="auto"/>
              <w:left w:val="single" w:sz="4" w:space="0" w:color="auto"/>
              <w:right w:val="single" w:sz="4" w:space="0" w:color="auto"/>
            </w:tcBorders>
            <w:shd w:val="clear" w:color="auto" w:fill="auto"/>
            <w:vAlign w:val="bottom"/>
          </w:tcPr>
          <w:p w:rsidR="007906A8" w:rsidRPr="00C1613F" w:rsidRDefault="00567EA3" w:rsidP="007906A8">
            <w:pPr>
              <w:rPr>
                <w:rFonts w:ascii="Times New Roman" w:hAnsi="Times New Roman" w:cs="Times New Roman"/>
                <w:lang w:val="bg"/>
              </w:rPr>
            </w:pPr>
            <w:hyperlink r:id="rId58" w:history="1">
              <w:r w:rsidR="007906A8" w:rsidRPr="00C1613F">
                <w:rPr>
                  <w:rStyle w:val="Hyperlink"/>
                  <w:rFonts w:ascii="Times New Roman" w:hAnsi="Times New Roman" w:cs="Times New Roman"/>
                  <w:lang w:val="bg"/>
                </w:rPr>
                <w:t>https://community.openems.io/</w:t>
              </w:r>
            </w:hyperlink>
          </w:p>
        </w:tc>
      </w:tr>
      <w:tr w:rsidR="007906A8" w:rsidRPr="00C1613F" w:rsidTr="005A0A7F">
        <w:trPr>
          <w:trHeight w:hRule="exact" w:val="240"/>
          <w:jc w:val="center"/>
        </w:trPr>
        <w:tc>
          <w:tcPr>
            <w:tcW w:w="2741" w:type="dxa"/>
            <w:tcBorders>
              <w:top w:val="single" w:sz="4" w:space="0" w:color="auto"/>
              <w:left w:val="single" w:sz="4" w:space="0" w:color="auto"/>
            </w:tcBorders>
            <w:shd w:val="clear" w:color="auto" w:fill="D2EFEF"/>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Демо на живо</w:t>
            </w:r>
          </w:p>
        </w:tc>
        <w:tc>
          <w:tcPr>
            <w:tcW w:w="6293" w:type="dxa"/>
            <w:tcBorders>
              <w:top w:val="single" w:sz="4" w:space="0" w:color="auto"/>
              <w:left w:val="single" w:sz="4" w:space="0" w:color="auto"/>
              <w:right w:val="single" w:sz="4" w:space="0" w:color="auto"/>
            </w:tcBorders>
            <w:shd w:val="clear" w:color="auto" w:fill="D2EFEF"/>
            <w:vAlign w:val="bottom"/>
          </w:tcPr>
          <w:p w:rsidR="007906A8" w:rsidRPr="00C1613F" w:rsidRDefault="00567EA3" w:rsidP="007906A8">
            <w:pPr>
              <w:rPr>
                <w:rFonts w:ascii="Times New Roman" w:hAnsi="Times New Roman" w:cs="Times New Roman"/>
                <w:lang w:val="bg"/>
              </w:rPr>
            </w:pPr>
            <w:hyperlink r:id="rId59" w:history="1">
              <w:r w:rsidR="007906A8" w:rsidRPr="00C1613F">
                <w:rPr>
                  <w:rStyle w:val="Hyperlink"/>
                  <w:rFonts w:ascii="Times New Roman" w:hAnsi="Times New Roman" w:cs="Times New Roman"/>
                  <w:lang w:val="bg"/>
                </w:rPr>
                <w:t>https://gitpod.io/#https://github.com/OpenEMS/openems</w:t>
              </w:r>
            </w:hyperlink>
          </w:p>
        </w:tc>
      </w:tr>
      <w:tr w:rsidR="007906A8" w:rsidRPr="00C1613F" w:rsidTr="005A0A7F">
        <w:trPr>
          <w:trHeight w:hRule="exact" w:val="278"/>
          <w:jc w:val="center"/>
        </w:trPr>
        <w:tc>
          <w:tcPr>
            <w:tcW w:w="2741" w:type="dxa"/>
            <w:tcBorders>
              <w:top w:val="single" w:sz="4" w:space="0" w:color="auto"/>
              <w:left w:val="single" w:sz="4" w:space="0" w:color="auto"/>
              <w:bottom w:val="single" w:sz="4" w:space="0" w:color="auto"/>
            </w:tcBorders>
            <w:shd w:val="clear" w:color="auto" w:fill="auto"/>
            <w:vAlign w:val="bottom"/>
          </w:tcPr>
          <w:p w:rsidR="007906A8" w:rsidRPr="00C1613F" w:rsidRDefault="007906A8" w:rsidP="007906A8">
            <w:pPr>
              <w:rPr>
                <w:rFonts w:ascii="Times New Roman" w:hAnsi="Times New Roman" w:cs="Times New Roman"/>
                <w:lang w:val="bg"/>
              </w:rPr>
            </w:pPr>
            <w:r w:rsidRPr="00C1613F">
              <w:rPr>
                <w:rFonts w:ascii="Times New Roman" w:hAnsi="Times New Roman" w:cs="Times New Roman"/>
                <w:lang w:val="bg"/>
              </w:rPr>
              <w:t>Въведение в OpenEMS</w:t>
            </w:r>
          </w:p>
        </w:tc>
        <w:tc>
          <w:tcPr>
            <w:tcW w:w="6293" w:type="dxa"/>
            <w:tcBorders>
              <w:top w:val="single" w:sz="4" w:space="0" w:color="auto"/>
              <w:left w:val="single" w:sz="4" w:space="0" w:color="auto"/>
              <w:bottom w:val="single" w:sz="4" w:space="0" w:color="auto"/>
              <w:right w:val="single" w:sz="4" w:space="0" w:color="auto"/>
            </w:tcBorders>
            <w:shd w:val="clear" w:color="auto" w:fill="auto"/>
            <w:vAlign w:val="bottom"/>
          </w:tcPr>
          <w:p w:rsidR="007906A8" w:rsidRPr="00C1613F" w:rsidRDefault="00567EA3" w:rsidP="007906A8">
            <w:pPr>
              <w:rPr>
                <w:rFonts w:ascii="Times New Roman" w:hAnsi="Times New Roman" w:cs="Times New Roman"/>
                <w:lang w:val="bg"/>
              </w:rPr>
            </w:pPr>
            <w:hyperlink r:id="rId60" w:history="1">
              <w:r w:rsidR="007906A8" w:rsidRPr="00C1613F">
                <w:rPr>
                  <w:rStyle w:val="Hyperlink"/>
                  <w:rFonts w:ascii="Times New Roman" w:hAnsi="Times New Roman" w:cs="Times New Roman"/>
                  <w:lang w:val="bg"/>
                </w:rPr>
                <w:t>https://openems.github.io/openems.io/openems/latest/introduction.html</w:t>
              </w:r>
            </w:hyperlink>
            <w:r w:rsidR="007906A8" w:rsidRPr="00C1613F">
              <w:rPr>
                <w:rFonts w:ascii="Times New Roman" w:hAnsi="Times New Roman" w:cs="Times New Roman"/>
                <w:lang w:val="bg"/>
              </w:rPr>
              <w:t xml:space="preserve"> (на английски)</w:t>
            </w:r>
          </w:p>
        </w:tc>
      </w:tr>
    </w:tbl>
    <w:p w:rsidR="007906A8" w:rsidRPr="00C1613F" w:rsidRDefault="007906A8" w:rsidP="007906A8">
      <w:pPr>
        <w:rPr>
          <w:rFonts w:ascii="Times New Roman" w:hAnsi="Times New Roman" w:cs="Times New Roman"/>
          <w:lang w:val="bg"/>
        </w:rPr>
      </w:pPr>
    </w:p>
    <w:p w:rsidR="007906A8" w:rsidRDefault="00C1613F" w:rsidP="00C1613F">
      <w:pPr>
        <w:pStyle w:val="Heading3"/>
        <w:spacing w:line="276" w:lineRule="auto"/>
        <w:jc w:val="both"/>
        <w:rPr>
          <w:rFonts w:ascii="Times New Roman" w:hAnsi="Times New Roman" w:cs="Times New Roman"/>
          <w:color w:val="24B1C0"/>
          <w:sz w:val="28"/>
          <w:szCs w:val="28"/>
          <w:lang w:val="bg"/>
        </w:rPr>
      </w:pPr>
      <w:bookmarkStart w:id="375" w:name="bookmark486"/>
      <w:bookmarkStart w:id="376" w:name="bookmark485"/>
      <w:bookmarkStart w:id="377" w:name="_Toc203141327"/>
      <w:r>
        <w:rPr>
          <w:rFonts w:ascii="Times New Roman" w:hAnsi="Times New Roman" w:cs="Times New Roman"/>
          <w:color w:val="24B1C0"/>
          <w:sz w:val="28"/>
          <w:szCs w:val="28"/>
          <w:lang w:val="bg"/>
        </w:rPr>
        <w:t xml:space="preserve">5.6.5 </w:t>
      </w:r>
      <w:r w:rsidR="007906A8" w:rsidRPr="00C1613F">
        <w:rPr>
          <w:rFonts w:ascii="Times New Roman" w:hAnsi="Times New Roman" w:cs="Times New Roman"/>
          <w:color w:val="24B1C0"/>
          <w:sz w:val="28"/>
          <w:szCs w:val="28"/>
          <w:lang w:val="bg"/>
        </w:rPr>
        <w:t>Отворена система за управление на енергията</w:t>
      </w:r>
      <w:bookmarkEnd w:id="375"/>
      <w:bookmarkEnd w:id="376"/>
      <w:bookmarkEnd w:id="377"/>
    </w:p>
    <w:p w:rsidR="00C1613F" w:rsidRPr="00C1613F" w:rsidRDefault="00C1613F" w:rsidP="00C1613F">
      <w:pPr>
        <w:rPr>
          <w:lang w:val="bg"/>
        </w:rPr>
      </w:pPr>
    </w:p>
    <w:p w:rsidR="007906A8" w:rsidRPr="00C1613F" w:rsidRDefault="007906A8" w:rsidP="00C1613F">
      <w:pPr>
        <w:spacing w:line="276" w:lineRule="auto"/>
        <w:jc w:val="both"/>
        <w:rPr>
          <w:rFonts w:ascii="Times New Roman" w:hAnsi="Times New Roman" w:cs="Times New Roman"/>
          <w:sz w:val="24"/>
          <w:szCs w:val="24"/>
          <w:lang w:val="bg"/>
        </w:rPr>
      </w:pPr>
      <w:r w:rsidRPr="00C1613F">
        <w:rPr>
          <w:rFonts w:ascii="Times New Roman" w:hAnsi="Times New Roman" w:cs="Times New Roman"/>
          <w:sz w:val="24"/>
          <w:szCs w:val="24"/>
          <w:lang w:val="bg"/>
        </w:rPr>
        <w:t>Отворената система за управление на енергията (EMS) — системата за управление на енергията с отворен код — е модулна платформа за приложения за управление на енергията. Тя е разработена около изискванията за мониторинг, контрол и интегриране на съхранението на енергия заедно с възобновяеми енергийни източници и допълнителни устройства и услуги като станции за зареждане на електрически превозни средства, термопомпи, електролизьори, тарифи за време на използване на електроенергия и др.</w:t>
      </w:r>
    </w:p>
    <w:p w:rsidR="007906A8" w:rsidRPr="00C1613F" w:rsidRDefault="007906A8" w:rsidP="00C1613F">
      <w:pPr>
        <w:spacing w:line="276" w:lineRule="auto"/>
        <w:jc w:val="both"/>
        <w:rPr>
          <w:rFonts w:ascii="Times New Roman" w:hAnsi="Times New Roman" w:cs="Times New Roman"/>
          <w:i/>
          <w:iCs/>
          <w:sz w:val="24"/>
          <w:szCs w:val="24"/>
          <w:lang w:val="bg"/>
        </w:rPr>
      </w:pPr>
      <w:r w:rsidRPr="00C1613F">
        <w:rPr>
          <w:rFonts w:ascii="Times New Roman" w:hAnsi="Times New Roman" w:cs="Times New Roman"/>
          <w:sz w:val="24"/>
          <w:szCs w:val="24"/>
          <w:lang w:val="bg"/>
        </w:rPr>
        <w:t>Ако някой планира да използва OpenEMS за собствени проекти, трябва да обмисли присъединяването си към OpenEMS Association e.V.,</w:t>
      </w:r>
      <w:hyperlink w:anchor="bookmark117" w:tooltip="Current Document">
        <w:r w:rsidRPr="002E2E94">
          <w:rPr>
            <w:rStyle w:val="Hyperlink"/>
            <w:rFonts w:ascii="Times New Roman" w:hAnsi="Times New Roman" w:cs="Times New Roman"/>
            <w:sz w:val="24"/>
            <w:szCs w:val="24"/>
            <w:vertAlign w:val="superscript"/>
            <w:lang w:val="bg"/>
          </w:rPr>
          <w:footnoteReference w:id="112"/>
        </w:r>
      </w:hyperlink>
      <w:r w:rsidRPr="00C1613F">
        <w:rPr>
          <w:rFonts w:ascii="Times New Roman" w:hAnsi="Times New Roman" w:cs="Times New Roman"/>
          <w:sz w:val="24"/>
          <w:szCs w:val="24"/>
          <w:lang w:val="bg"/>
        </w:rPr>
        <w:t xml:space="preserve">мрежа от университети, </w:t>
      </w:r>
      <w:r w:rsidRPr="00C1613F">
        <w:rPr>
          <w:rFonts w:ascii="Times New Roman" w:hAnsi="Times New Roman" w:cs="Times New Roman"/>
          <w:sz w:val="24"/>
          <w:szCs w:val="24"/>
          <w:lang w:val="bg"/>
        </w:rPr>
        <w:lastRenderedPageBreak/>
        <w:t>производители на хардуер, софтуерни компании катокакто и търговски и частни собственици, и се свържете с форума на общността на OpenEMS</w:t>
      </w:r>
      <w:r w:rsidR="00DD6AF8">
        <w:rPr>
          <w:rStyle w:val="FootnoteReference"/>
          <w:rFonts w:ascii="Times New Roman" w:hAnsi="Times New Roman" w:cs="Times New Roman"/>
          <w:color w:val="0563C1" w:themeColor="hyperlink"/>
          <w:sz w:val="24"/>
          <w:szCs w:val="24"/>
          <w:u w:val="single"/>
          <w:lang w:val="bg"/>
        </w:rPr>
        <w:footnoteReference w:id="113"/>
      </w:r>
    </w:p>
    <w:p w:rsidR="007906A8" w:rsidRPr="00C1613F" w:rsidRDefault="007906A8" w:rsidP="00C1613F">
      <w:pPr>
        <w:spacing w:line="276" w:lineRule="auto"/>
        <w:jc w:val="both"/>
        <w:rPr>
          <w:rFonts w:ascii="Times New Roman" w:hAnsi="Times New Roman" w:cs="Times New Roman"/>
          <w:i/>
          <w:iCs/>
          <w:sz w:val="24"/>
          <w:szCs w:val="24"/>
          <w:lang w:val="bg"/>
        </w:rPr>
      </w:pPr>
      <w:bookmarkStart w:id="380" w:name="bookmark488"/>
      <w:r w:rsidRPr="00C1613F">
        <w:rPr>
          <w:rFonts w:ascii="Times New Roman" w:hAnsi="Times New Roman" w:cs="Times New Roman"/>
          <w:sz w:val="24"/>
          <w:szCs w:val="24"/>
          <w:lang w:val="bg"/>
        </w:rPr>
        <w:t>Фигура 3 — Отворени системи за управление на енергията на местно равнище.</w:t>
      </w:r>
      <w:bookmarkEnd w:id="380"/>
    </w:p>
    <w:p w:rsidR="007906A8" w:rsidRPr="00C1613F" w:rsidRDefault="003819B1" w:rsidP="00C1613F">
      <w:pPr>
        <w:spacing w:line="276" w:lineRule="auto"/>
        <w:jc w:val="both"/>
        <w:rPr>
          <w:rFonts w:ascii="Times New Roman" w:hAnsi="Times New Roman" w:cs="Times New Roman"/>
          <w:sz w:val="24"/>
          <w:szCs w:val="24"/>
          <w:lang w:val="bg"/>
        </w:rPr>
      </w:pPr>
      <w:r>
        <w:rPr>
          <w:rFonts w:ascii="Times New Roman" w:hAnsi="Times New Roman" w:cs="Times New Roman"/>
          <w:noProof/>
          <w:sz w:val="24"/>
          <w:szCs w:val="24"/>
          <w:lang w:val="bg-BG" w:eastAsia="bg-BG"/>
        </w:rPr>
        <w:drawing>
          <wp:inline distT="0" distB="0" distL="0" distR="0" wp14:anchorId="66FEF1D5">
            <wp:extent cx="5962650" cy="25546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2650" cy="2554605"/>
                    </a:xfrm>
                    <a:prstGeom prst="rect">
                      <a:avLst/>
                    </a:prstGeom>
                    <a:noFill/>
                  </pic:spPr>
                </pic:pic>
              </a:graphicData>
            </a:graphic>
          </wp:inline>
        </w:drawing>
      </w:r>
    </w:p>
    <w:p w:rsidR="00C23C5E" w:rsidRPr="003819B1" w:rsidRDefault="00C23C5E" w:rsidP="003819B1">
      <w:pPr>
        <w:tabs>
          <w:tab w:val="left" w:pos="8355"/>
        </w:tabs>
        <w:rPr>
          <w:lang w:val="bg"/>
        </w:rPr>
      </w:pPr>
      <w:r w:rsidRPr="00C23C5E">
        <w:rPr>
          <w:lang w:val="bg"/>
        </w:rPr>
        <w:t>Фигура 3 — Отворени системи за управление на енергията на местно равнище.</w:t>
      </w:r>
    </w:p>
    <w:p w:rsidR="007906A8" w:rsidRPr="007906A8" w:rsidRDefault="003819B1" w:rsidP="007906A8">
      <w:pPr>
        <w:rPr>
          <w:lang w:val="bg"/>
        </w:rPr>
      </w:pPr>
      <w:r>
        <w:rPr>
          <w:noProof/>
          <w:lang w:val="bg-BG" w:eastAsia="bg-BG"/>
        </w:rPr>
        <w:drawing>
          <wp:inline distT="0" distB="0" distL="0" distR="0" wp14:anchorId="26EC7386">
            <wp:extent cx="6120765" cy="24752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475230"/>
                    </a:xfrm>
                    <a:prstGeom prst="rect">
                      <a:avLst/>
                    </a:prstGeom>
                    <a:noFill/>
                  </pic:spPr>
                </pic:pic>
              </a:graphicData>
            </a:graphic>
          </wp:inline>
        </w:drawing>
      </w:r>
    </w:p>
    <w:p w:rsidR="00C23C5E" w:rsidRDefault="00C23C5E" w:rsidP="00C23C5E">
      <w:pPr>
        <w:rPr>
          <w:rStyle w:val="Hyperlink"/>
          <w:rFonts w:ascii="Times New Roman" w:hAnsi="Times New Roman" w:cs="Times New Roman"/>
          <w:sz w:val="24"/>
          <w:szCs w:val="24"/>
          <w:lang w:val="bg"/>
        </w:rPr>
      </w:pPr>
      <w:r w:rsidRPr="00A735FC">
        <w:rPr>
          <w:rFonts w:ascii="Times New Roman" w:hAnsi="Times New Roman" w:cs="Times New Roman"/>
          <w:sz w:val="24"/>
          <w:szCs w:val="24"/>
          <w:lang w:val="bg"/>
        </w:rPr>
        <w:t>Примери за използване на OpenEMS са представени на</w:t>
      </w:r>
      <w:hyperlink w:anchor="bookmark488" w:tooltip="Current Document">
        <w:r w:rsidRPr="00A735FC">
          <w:rPr>
            <w:rStyle w:val="Hyperlink"/>
            <w:rFonts w:ascii="Times New Roman" w:hAnsi="Times New Roman" w:cs="Times New Roman"/>
            <w:sz w:val="24"/>
            <w:szCs w:val="24"/>
            <w:lang w:val="bg"/>
          </w:rPr>
          <w:t xml:space="preserve"> фигура 2 </w:t>
        </w:r>
      </w:hyperlink>
      <w:r w:rsidRPr="00A735FC">
        <w:rPr>
          <w:rFonts w:ascii="Times New Roman" w:hAnsi="Times New Roman" w:cs="Times New Roman"/>
          <w:sz w:val="24"/>
          <w:szCs w:val="24"/>
          <w:lang w:val="bg"/>
        </w:rPr>
        <w:t>и</w:t>
      </w:r>
      <w:hyperlink w:anchor="bookmark489" w:tooltip="Current Document">
        <w:r w:rsidRPr="00A735FC">
          <w:rPr>
            <w:rStyle w:val="Hyperlink"/>
            <w:rFonts w:ascii="Times New Roman" w:hAnsi="Times New Roman" w:cs="Times New Roman"/>
            <w:sz w:val="24"/>
            <w:szCs w:val="24"/>
            <w:lang w:val="bg"/>
          </w:rPr>
          <w:t xml:space="preserve"> фигура 3. </w:t>
        </w:r>
      </w:hyperlink>
    </w:p>
    <w:p w:rsidR="00A735FC" w:rsidRPr="00A735FC" w:rsidRDefault="00A735FC" w:rsidP="00C23C5E">
      <w:pPr>
        <w:rPr>
          <w:rFonts w:ascii="Times New Roman" w:hAnsi="Times New Roman" w:cs="Times New Roman"/>
          <w:i/>
          <w:iCs/>
          <w:sz w:val="24"/>
          <w:szCs w:val="24"/>
          <w:lang w:val="bg"/>
        </w:rPr>
      </w:pPr>
    </w:p>
    <w:p w:rsidR="00C23C5E" w:rsidRPr="00C23C5E" w:rsidRDefault="00C23C5E" w:rsidP="00C23C5E">
      <w:pPr>
        <w:rPr>
          <w:lang w:val="bg"/>
        </w:rPr>
      </w:pPr>
    </w:p>
    <w:p w:rsidR="007906A8" w:rsidRDefault="005B33B6" w:rsidP="00C23C5E">
      <w:pPr>
        <w:pStyle w:val="Heading3"/>
        <w:spacing w:line="276" w:lineRule="auto"/>
        <w:jc w:val="both"/>
        <w:rPr>
          <w:rFonts w:ascii="Times New Roman" w:hAnsi="Times New Roman" w:cs="Times New Roman"/>
          <w:color w:val="24B1C0"/>
          <w:sz w:val="28"/>
          <w:szCs w:val="28"/>
          <w:lang w:val="bg"/>
        </w:rPr>
      </w:pPr>
      <w:bookmarkStart w:id="381" w:name="bookmark492"/>
      <w:bookmarkStart w:id="382" w:name="bookmark491"/>
      <w:bookmarkStart w:id="383" w:name="_Toc203141328"/>
      <w:r>
        <w:rPr>
          <w:rFonts w:ascii="Times New Roman" w:hAnsi="Times New Roman" w:cs="Times New Roman"/>
          <w:color w:val="24B1C0"/>
          <w:sz w:val="28"/>
          <w:szCs w:val="28"/>
          <w:lang w:val="bg"/>
        </w:rPr>
        <w:t>5.6.6</w:t>
      </w:r>
      <w:r w:rsidR="00C23C5E" w:rsidRPr="00C23C5E">
        <w:rPr>
          <w:rFonts w:ascii="Times New Roman" w:hAnsi="Times New Roman" w:cs="Times New Roman"/>
          <w:color w:val="24B1C0"/>
          <w:sz w:val="28"/>
          <w:szCs w:val="28"/>
          <w:lang w:val="bg"/>
        </w:rPr>
        <w:t xml:space="preserve"> </w:t>
      </w:r>
      <w:r w:rsidR="007906A8" w:rsidRPr="00C23C5E">
        <w:rPr>
          <w:rFonts w:ascii="Times New Roman" w:hAnsi="Times New Roman" w:cs="Times New Roman"/>
          <w:color w:val="24B1C0"/>
          <w:sz w:val="28"/>
          <w:szCs w:val="28"/>
          <w:lang w:val="bg"/>
        </w:rPr>
        <w:t>OpenEMS IoT стек</w:t>
      </w:r>
      <w:bookmarkEnd w:id="381"/>
      <w:bookmarkEnd w:id="382"/>
      <w:bookmarkEnd w:id="383"/>
    </w:p>
    <w:p w:rsidR="00C23C5E" w:rsidRPr="00C23C5E" w:rsidRDefault="00C23C5E" w:rsidP="00C23C5E">
      <w:pPr>
        <w:rPr>
          <w:lang w:val="bg"/>
        </w:rPr>
      </w:pPr>
    </w:p>
    <w:p w:rsidR="007906A8" w:rsidRPr="00C23C5E" w:rsidRDefault="007906A8" w:rsidP="00C23C5E">
      <w:p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Пакетът OpenEMS „Интернет на нещата“ съдържа три основни компонента:</w:t>
      </w:r>
    </w:p>
    <w:p w:rsidR="000E6421" w:rsidRDefault="007906A8" w:rsidP="00B01311">
      <w:pPr>
        <w:pStyle w:val="ListParagraph"/>
        <w:numPr>
          <w:ilvl w:val="0"/>
          <w:numId w:val="157"/>
        </w:num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OpenEMS Edge: работи на място, комуникира с устройства и услуги, събира данни и изпълнява алгоритми за контрол</w:t>
      </w:r>
    </w:p>
    <w:p w:rsidR="000E6421" w:rsidRPr="000E6421" w:rsidRDefault="007906A8" w:rsidP="00B01311">
      <w:pPr>
        <w:pStyle w:val="ListParagraph"/>
        <w:numPr>
          <w:ilvl w:val="0"/>
          <w:numId w:val="157"/>
        </w:numPr>
        <w:spacing w:line="276" w:lineRule="auto"/>
        <w:jc w:val="both"/>
        <w:rPr>
          <w:rStyle w:val="Hyperlink"/>
          <w:rFonts w:ascii="Times New Roman" w:hAnsi="Times New Roman" w:cs="Times New Roman"/>
          <w:color w:val="auto"/>
          <w:sz w:val="24"/>
          <w:szCs w:val="24"/>
          <w:u w:val="none"/>
          <w:lang w:val="bg"/>
        </w:rPr>
      </w:pPr>
      <w:r w:rsidRPr="000E6421">
        <w:rPr>
          <w:rFonts w:ascii="Times New Roman" w:hAnsi="Times New Roman" w:cs="Times New Roman"/>
          <w:sz w:val="24"/>
          <w:szCs w:val="24"/>
          <w:lang w:val="bg"/>
        </w:rPr>
        <w:lastRenderedPageBreak/>
        <w:t xml:space="preserve">Потребителски интерфейс на OpenEMS: потребителския интерфейс в реално време за уеб браузъри и смартфони </w:t>
      </w:r>
      <w:hyperlink w:anchor="bookmark494" w:tooltip="Current Document">
        <w:r w:rsidRPr="000E6421">
          <w:rPr>
            <w:rStyle w:val="Hyperlink"/>
            <w:rFonts w:ascii="Times New Roman" w:hAnsi="Times New Roman" w:cs="Times New Roman"/>
            <w:sz w:val="24"/>
            <w:szCs w:val="24"/>
            <w:lang w:val="bg"/>
          </w:rPr>
          <w:t>(фигура 4</w:t>
        </w:r>
      </w:hyperlink>
      <w:r w:rsidRPr="000E6421">
        <w:rPr>
          <w:rFonts w:ascii="Times New Roman" w:hAnsi="Times New Roman" w:cs="Times New Roman"/>
          <w:sz w:val="24"/>
          <w:szCs w:val="24"/>
          <w:lang w:val="bg"/>
        </w:rPr>
        <w:t xml:space="preserve"> и</w:t>
      </w:r>
      <w:hyperlink w:anchor="bookmark495" w:tooltip="Current Document">
        <w:r w:rsidRPr="000E6421">
          <w:rPr>
            <w:rStyle w:val="Hyperlink"/>
            <w:rFonts w:ascii="Times New Roman" w:hAnsi="Times New Roman" w:cs="Times New Roman"/>
            <w:sz w:val="24"/>
            <w:szCs w:val="24"/>
            <w:lang w:val="bg"/>
          </w:rPr>
          <w:t xml:space="preserve"> фигура 5)</w:t>
        </w:r>
      </w:hyperlink>
    </w:p>
    <w:p w:rsidR="007906A8" w:rsidRPr="000E6421" w:rsidRDefault="007906A8" w:rsidP="00B01311">
      <w:pPr>
        <w:pStyle w:val="ListParagraph"/>
        <w:numPr>
          <w:ilvl w:val="0"/>
          <w:numId w:val="157"/>
        </w:numPr>
        <w:spacing w:line="276" w:lineRule="auto"/>
        <w:jc w:val="both"/>
        <w:rPr>
          <w:rFonts w:ascii="Times New Roman" w:hAnsi="Times New Roman" w:cs="Times New Roman"/>
          <w:sz w:val="24"/>
          <w:szCs w:val="24"/>
          <w:lang w:val="bg"/>
        </w:rPr>
      </w:pPr>
      <w:r w:rsidRPr="000E6421">
        <w:rPr>
          <w:rFonts w:ascii="Times New Roman" w:hAnsi="Times New Roman" w:cs="Times New Roman"/>
          <w:sz w:val="24"/>
          <w:szCs w:val="24"/>
          <w:lang w:val="bg"/>
        </w:rPr>
        <w:t>Backend на OpenEMS: работи на (облачен) сървър, свързва децентрализираните системи Edge и осигурява агрегиране, мониторинг и контрол чрез интернет</w:t>
      </w:r>
    </w:p>
    <w:p w:rsidR="007906A8" w:rsidRPr="00C23C5E" w:rsidRDefault="007906A8" w:rsidP="00C23C5E">
      <w:pPr>
        <w:spacing w:line="276" w:lineRule="auto"/>
        <w:jc w:val="both"/>
        <w:rPr>
          <w:rFonts w:ascii="Times New Roman" w:hAnsi="Times New Roman" w:cs="Times New Roman"/>
          <w:sz w:val="24"/>
          <w:szCs w:val="24"/>
          <w:lang w:val="bg"/>
        </w:rPr>
      </w:pPr>
      <w:r w:rsidRPr="00C23C5E">
        <w:rPr>
          <w:rFonts w:ascii="Times New Roman" w:hAnsi="Times New Roman" w:cs="Times New Roman"/>
          <w:b/>
          <w:bCs/>
          <w:sz w:val="24"/>
          <w:szCs w:val="24"/>
          <w:lang w:val="bg"/>
        </w:rPr>
        <w:t xml:space="preserve">Характеристики: Софтуерната </w:t>
      </w:r>
      <w:r w:rsidRPr="00C23C5E">
        <w:rPr>
          <w:rFonts w:ascii="Times New Roman" w:hAnsi="Times New Roman" w:cs="Times New Roman"/>
          <w:sz w:val="24"/>
          <w:szCs w:val="24"/>
          <w:lang w:val="bg"/>
        </w:rPr>
        <w:t>архитектура на OpenEMS е проектирана така, че да използва някои функции, които се изискват от една модерна и гъвкава система за управление на енергията:</w:t>
      </w:r>
    </w:p>
    <w:p w:rsidR="00C23C5E" w:rsidRDefault="007906A8" w:rsidP="00B01311">
      <w:pPr>
        <w:pStyle w:val="ListParagraph"/>
        <w:numPr>
          <w:ilvl w:val="0"/>
          <w:numId w:val="158"/>
        </w:num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Бързо, подобно на PLC управление на устройства</w:t>
      </w:r>
    </w:p>
    <w:p w:rsidR="00C23C5E" w:rsidRDefault="00C23C5E" w:rsidP="00C23C5E">
      <w:pPr>
        <w:pStyle w:val="ListParagraph"/>
        <w:spacing w:line="276" w:lineRule="auto"/>
        <w:jc w:val="both"/>
        <w:rPr>
          <w:rFonts w:ascii="Times New Roman" w:hAnsi="Times New Roman" w:cs="Times New Roman"/>
          <w:sz w:val="24"/>
          <w:szCs w:val="24"/>
          <w:lang w:val="bg"/>
        </w:rPr>
      </w:pPr>
    </w:p>
    <w:p w:rsidR="00C23C5E" w:rsidRDefault="007906A8" w:rsidP="00B01311">
      <w:pPr>
        <w:pStyle w:val="ListParagraph"/>
        <w:numPr>
          <w:ilvl w:val="0"/>
          <w:numId w:val="158"/>
        </w:num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Лесно се разширява благодарение на използването на съвременни езици за програмиране и модулна архитектура</w:t>
      </w:r>
    </w:p>
    <w:p w:rsidR="00C23C5E" w:rsidRPr="00C23C5E" w:rsidRDefault="00C23C5E" w:rsidP="00C23C5E">
      <w:pPr>
        <w:pStyle w:val="ListParagraph"/>
        <w:rPr>
          <w:rFonts w:ascii="Times New Roman" w:hAnsi="Times New Roman" w:cs="Times New Roman"/>
          <w:sz w:val="24"/>
          <w:szCs w:val="24"/>
          <w:lang w:val="bg"/>
        </w:rPr>
      </w:pPr>
    </w:p>
    <w:p w:rsidR="00C23C5E" w:rsidRDefault="007906A8" w:rsidP="00B01311">
      <w:pPr>
        <w:pStyle w:val="ListParagraph"/>
        <w:numPr>
          <w:ilvl w:val="0"/>
          <w:numId w:val="158"/>
        </w:num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Алгоритми за независимо управление на устройството за многократна употреба поради ясна абстракция на устройството</w:t>
      </w:r>
    </w:p>
    <w:p w:rsidR="00C23C5E" w:rsidRPr="00C23C5E" w:rsidRDefault="00C23C5E" w:rsidP="00C23C5E">
      <w:pPr>
        <w:pStyle w:val="ListParagraph"/>
        <w:rPr>
          <w:rFonts w:ascii="Times New Roman" w:hAnsi="Times New Roman" w:cs="Times New Roman"/>
          <w:sz w:val="24"/>
          <w:szCs w:val="24"/>
          <w:lang w:val="bg"/>
        </w:rPr>
      </w:pPr>
    </w:p>
    <w:p w:rsidR="007906A8" w:rsidRPr="00C23C5E" w:rsidRDefault="007906A8" w:rsidP="00B01311">
      <w:pPr>
        <w:pStyle w:val="ListParagraph"/>
        <w:numPr>
          <w:ilvl w:val="0"/>
          <w:numId w:val="158"/>
        </w:num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Широка гама от поддържани устройства и протоколи</w:t>
      </w:r>
    </w:p>
    <w:p w:rsidR="007906A8" w:rsidRPr="007906A8" w:rsidRDefault="007906A8" w:rsidP="007906A8">
      <w:pPr>
        <w:rPr>
          <w:lang w:val="bg"/>
        </w:rPr>
      </w:pPr>
      <w:r w:rsidRPr="007906A8">
        <w:rPr>
          <w:noProof/>
          <w:lang w:val="bg-BG" w:eastAsia="bg-BG"/>
        </w:rPr>
        <w:drawing>
          <wp:inline distT="0" distB="0" distL="0" distR="0" wp14:anchorId="5DCEF4CF" wp14:editId="6792A13B">
            <wp:extent cx="5535295" cy="2359025"/>
            <wp:effectExtent l="0" t="0" r="0" b="0"/>
            <wp:docPr id="244" name="Пикутър 244"/>
            <wp:cNvGraphicFramePr/>
            <a:graphic xmlns:a="http://schemas.openxmlformats.org/drawingml/2006/main">
              <a:graphicData uri="http://schemas.openxmlformats.org/drawingml/2006/picture">
                <pic:pic xmlns:pic="http://schemas.openxmlformats.org/drawingml/2006/picture">
                  <pic:nvPicPr>
                    <pic:cNvPr id="244" name="Снимка 244"/>
                    <pic:cNvPicPr/>
                  </pic:nvPicPr>
                  <pic:blipFill>
                    <a:blip r:embed="rId63"/>
                    <a:stretch/>
                  </pic:blipFill>
                  <pic:spPr>
                    <a:xfrm>
                      <a:off x="0" y="0"/>
                      <a:ext cx="5535295" cy="2359025"/>
                    </a:xfrm>
                    <a:prstGeom prst="rect">
                      <a:avLst/>
                    </a:prstGeom>
                  </pic:spPr>
                </pic:pic>
              </a:graphicData>
            </a:graphic>
          </wp:inline>
        </w:drawing>
      </w:r>
    </w:p>
    <w:p w:rsidR="007906A8" w:rsidRPr="00A735FC" w:rsidRDefault="007906A8" w:rsidP="007906A8">
      <w:pPr>
        <w:rPr>
          <w:rFonts w:ascii="Times New Roman" w:hAnsi="Times New Roman" w:cs="Times New Roman"/>
          <w:i/>
          <w:iCs/>
          <w:sz w:val="24"/>
          <w:szCs w:val="24"/>
          <w:lang w:val="bg"/>
        </w:rPr>
      </w:pPr>
      <w:bookmarkStart w:id="384" w:name="bookmark494"/>
      <w:r w:rsidRPr="00A735FC">
        <w:rPr>
          <w:rFonts w:ascii="Times New Roman" w:hAnsi="Times New Roman" w:cs="Times New Roman"/>
          <w:sz w:val="24"/>
          <w:szCs w:val="24"/>
          <w:lang w:val="bg"/>
        </w:rPr>
        <w:t>Фигура 5 — Пример за потребителски интерфейс на OpenEMS</w:t>
      </w:r>
      <w:bookmarkEnd w:id="384"/>
    </w:p>
    <w:p w:rsidR="007906A8" w:rsidRPr="007906A8" w:rsidRDefault="007906A8" w:rsidP="007906A8">
      <w:pPr>
        <w:rPr>
          <w:lang w:val="bg"/>
        </w:rPr>
      </w:pPr>
    </w:p>
    <w:p w:rsidR="007906A8" w:rsidRPr="007906A8" w:rsidRDefault="007906A8" w:rsidP="007906A8">
      <w:pPr>
        <w:rPr>
          <w:lang w:val="bg"/>
        </w:rPr>
      </w:pPr>
    </w:p>
    <w:p w:rsidR="007906A8" w:rsidRPr="007906A8" w:rsidRDefault="007906A8" w:rsidP="007906A8">
      <w:pPr>
        <w:rPr>
          <w:lang w:val="bg"/>
        </w:rPr>
      </w:pPr>
      <w:r w:rsidRPr="007906A8">
        <w:rPr>
          <w:noProof/>
          <w:lang w:val="bg-BG" w:eastAsia="bg-BG"/>
        </w:rPr>
        <w:lastRenderedPageBreak/>
        <w:drawing>
          <wp:inline distT="0" distB="0" distL="0" distR="0" wp14:anchorId="7F40542F" wp14:editId="61EA83A9">
            <wp:extent cx="5559425" cy="2493010"/>
            <wp:effectExtent l="0" t="0" r="0" b="0"/>
            <wp:docPr id="245" name="Пикутър 245"/>
            <wp:cNvGraphicFramePr/>
            <a:graphic xmlns:a="http://schemas.openxmlformats.org/drawingml/2006/main">
              <a:graphicData uri="http://schemas.openxmlformats.org/drawingml/2006/picture">
                <pic:pic xmlns:pic="http://schemas.openxmlformats.org/drawingml/2006/picture">
                  <pic:nvPicPr>
                    <pic:cNvPr id="245" name="Снимка 245"/>
                    <pic:cNvPicPr/>
                  </pic:nvPicPr>
                  <pic:blipFill>
                    <a:blip r:embed="rId64"/>
                    <a:stretch/>
                  </pic:blipFill>
                  <pic:spPr>
                    <a:xfrm>
                      <a:off x="0" y="0"/>
                      <a:ext cx="5559425" cy="2493010"/>
                    </a:xfrm>
                    <a:prstGeom prst="rect">
                      <a:avLst/>
                    </a:prstGeom>
                  </pic:spPr>
                </pic:pic>
              </a:graphicData>
            </a:graphic>
          </wp:inline>
        </w:drawing>
      </w:r>
    </w:p>
    <w:p w:rsidR="007906A8" w:rsidRDefault="007906A8" w:rsidP="007906A8">
      <w:pPr>
        <w:rPr>
          <w:rFonts w:ascii="Times New Roman" w:hAnsi="Times New Roman" w:cs="Times New Roman"/>
          <w:sz w:val="24"/>
          <w:szCs w:val="24"/>
          <w:lang w:val="bg"/>
        </w:rPr>
      </w:pPr>
      <w:bookmarkStart w:id="385" w:name="bookmark495"/>
      <w:r w:rsidRPr="00F86089">
        <w:rPr>
          <w:rFonts w:ascii="Times New Roman" w:hAnsi="Times New Roman" w:cs="Times New Roman"/>
          <w:sz w:val="24"/>
          <w:szCs w:val="24"/>
          <w:lang w:val="bg"/>
        </w:rPr>
        <w:t>Фигура 4 — Пример за потребителски интерфейс на OpenEMS: Преглед на перспективит</w:t>
      </w:r>
      <w:bookmarkEnd w:id="385"/>
      <w:r w:rsidR="00C23C5E" w:rsidRPr="00F86089">
        <w:rPr>
          <w:rFonts w:ascii="Times New Roman" w:hAnsi="Times New Roman" w:cs="Times New Roman"/>
          <w:sz w:val="24"/>
          <w:szCs w:val="24"/>
          <w:lang w:val="bg"/>
        </w:rPr>
        <w:t>е</w:t>
      </w:r>
    </w:p>
    <w:p w:rsidR="003819B1" w:rsidRDefault="003819B1" w:rsidP="007906A8">
      <w:pPr>
        <w:rPr>
          <w:rFonts w:ascii="Times New Roman" w:hAnsi="Times New Roman" w:cs="Times New Roman"/>
          <w:sz w:val="24"/>
          <w:szCs w:val="24"/>
          <w:lang w:val="bg"/>
        </w:rPr>
      </w:pPr>
    </w:p>
    <w:p w:rsidR="007906A8" w:rsidRDefault="00C23C5E" w:rsidP="00C23C5E">
      <w:pPr>
        <w:pStyle w:val="Heading3"/>
        <w:spacing w:line="276" w:lineRule="auto"/>
        <w:jc w:val="both"/>
        <w:rPr>
          <w:rFonts w:ascii="Times New Roman" w:hAnsi="Times New Roman" w:cs="Times New Roman"/>
          <w:color w:val="24B1C0"/>
          <w:sz w:val="28"/>
          <w:szCs w:val="28"/>
          <w:lang w:val="bg"/>
        </w:rPr>
      </w:pPr>
      <w:bookmarkStart w:id="386" w:name="bookmark497"/>
      <w:bookmarkStart w:id="387" w:name="bookmark496"/>
      <w:bookmarkStart w:id="388" w:name="_Toc203141329"/>
      <w:r w:rsidRPr="00C23C5E">
        <w:rPr>
          <w:rFonts w:ascii="Times New Roman" w:hAnsi="Times New Roman" w:cs="Times New Roman"/>
          <w:color w:val="24B1C0"/>
          <w:sz w:val="28"/>
          <w:szCs w:val="28"/>
          <w:lang w:val="bg"/>
        </w:rPr>
        <w:t>5.6.</w:t>
      </w:r>
      <w:r w:rsidR="005B33B6">
        <w:rPr>
          <w:rFonts w:ascii="Times New Roman" w:hAnsi="Times New Roman" w:cs="Times New Roman"/>
          <w:color w:val="24B1C0"/>
          <w:sz w:val="28"/>
          <w:szCs w:val="28"/>
          <w:lang w:val="bg"/>
        </w:rPr>
        <w:t>7</w:t>
      </w:r>
      <w:r w:rsidRPr="00C23C5E">
        <w:rPr>
          <w:rFonts w:ascii="Times New Roman" w:hAnsi="Times New Roman" w:cs="Times New Roman"/>
          <w:color w:val="24B1C0"/>
          <w:sz w:val="28"/>
          <w:szCs w:val="28"/>
          <w:lang w:val="bg"/>
        </w:rPr>
        <w:t xml:space="preserve"> </w:t>
      </w:r>
      <w:r w:rsidR="007906A8" w:rsidRPr="00C23C5E">
        <w:rPr>
          <w:rFonts w:ascii="Times New Roman" w:hAnsi="Times New Roman" w:cs="Times New Roman"/>
          <w:color w:val="24B1C0"/>
          <w:sz w:val="28"/>
          <w:szCs w:val="28"/>
          <w:lang w:val="bg"/>
        </w:rPr>
        <w:t>Архитектура на системата</w:t>
      </w:r>
      <w:bookmarkEnd w:id="386"/>
      <w:bookmarkEnd w:id="387"/>
      <w:bookmarkEnd w:id="388"/>
    </w:p>
    <w:p w:rsidR="00C23C5E" w:rsidRPr="00C23C5E" w:rsidRDefault="00C23C5E" w:rsidP="00C23C5E">
      <w:pPr>
        <w:rPr>
          <w:lang w:val="bg"/>
        </w:rPr>
      </w:pPr>
    </w:p>
    <w:p w:rsidR="007906A8" w:rsidRPr="00C23C5E" w:rsidRDefault="007906A8" w:rsidP="00C23C5E">
      <w:pPr>
        <w:spacing w:line="276" w:lineRule="auto"/>
        <w:jc w:val="both"/>
        <w:rPr>
          <w:rFonts w:ascii="Times New Roman" w:hAnsi="Times New Roman" w:cs="Times New Roman"/>
          <w:sz w:val="24"/>
          <w:szCs w:val="24"/>
          <w:lang w:val="bg"/>
        </w:rPr>
      </w:pPr>
      <w:r w:rsidRPr="00C23C5E">
        <w:rPr>
          <w:rFonts w:ascii="Times New Roman" w:hAnsi="Times New Roman" w:cs="Times New Roman"/>
          <w:sz w:val="24"/>
          <w:szCs w:val="24"/>
          <w:lang w:val="bg"/>
        </w:rPr>
        <w:t>OpenEMS обикновено се използва в комбинация с външни хардуерни и софтуерни компоненти (изключението е симулирана среда за разработка - вижте Първи стъпки). Като кратък преглед,</w:t>
      </w:r>
    </w:p>
    <w:p w:rsidR="007906A8" w:rsidRPr="00C23C5E" w:rsidRDefault="00567EA3" w:rsidP="00C23C5E">
      <w:pPr>
        <w:spacing w:line="276" w:lineRule="auto"/>
        <w:jc w:val="both"/>
        <w:rPr>
          <w:rFonts w:ascii="Times New Roman" w:hAnsi="Times New Roman" w:cs="Times New Roman"/>
          <w:i/>
          <w:iCs/>
          <w:sz w:val="24"/>
          <w:szCs w:val="24"/>
          <w:lang w:val="bg"/>
        </w:rPr>
      </w:pPr>
      <w:hyperlink w:anchor="bookmark499" w:tooltip="Current Document">
        <w:r w:rsidR="007906A8" w:rsidRPr="00C23C5E">
          <w:rPr>
            <w:rStyle w:val="Hyperlink"/>
            <w:rFonts w:ascii="Times New Roman" w:hAnsi="Times New Roman" w:cs="Times New Roman"/>
            <w:sz w:val="24"/>
            <w:szCs w:val="24"/>
            <w:lang w:val="bg"/>
          </w:rPr>
          <w:t xml:space="preserve">На фигура 6 </w:t>
        </w:r>
      </w:hyperlink>
      <w:r w:rsidR="007906A8" w:rsidRPr="00C23C5E">
        <w:rPr>
          <w:rFonts w:ascii="Times New Roman" w:hAnsi="Times New Roman" w:cs="Times New Roman"/>
          <w:sz w:val="24"/>
          <w:szCs w:val="24"/>
          <w:lang w:val="bg"/>
        </w:rPr>
        <w:t>е представено как OpenEMS се използва в производствените настройки:</w:t>
      </w:r>
    </w:p>
    <w:p w:rsidR="007906A8" w:rsidRPr="007906A8" w:rsidRDefault="007906A8" w:rsidP="007906A8">
      <w:pPr>
        <w:rPr>
          <w:lang w:val="bg"/>
        </w:rPr>
      </w:pPr>
      <w:r w:rsidRPr="007906A8">
        <w:rPr>
          <w:noProof/>
          <w:lang w:val="bg-BG" w:eastAsia="bg-BG"/>
        </w:rPr>
        <w:lastRenderedPageBreak/>
        <w:drawing>
          <wp:inline distT="0" distB="0" distL="0" distR="0" wp14:anchorId="7CC9DC82" wp14:editId="671D5991">
            <wp:extent cx="5742305" cy="4736465"/>
            <wp:effectExtent l="0" t="0" r="0" b="0"/>
            <wp:docPr id="246" name="Пикутър 246"/>
            <wp:cNvGraphicFramePr/>
            <a:graphic xmlns:a="http://schemas.openxmlformats.org/drawingml/2006/main">
              <a:graphicData uri="http://schemas.openxmlformats.org/drawingml/2006/picture">
                <pic:pic xmlns:pic="http://schemas.openxmlformats.org/drawingml/2006/picture">
                  <pic:nvPicPr>
                    <pic:cNvPr id="246" name="Снимка 246"/>
                    <pic:cNvPicPr/>
                  </pic:nvPicPr>
                  <pic:blipFill>
                    <a:blip r:embed="rId65"/>
                    <a:stretch/>
                  </pic:blipFill>
                  <pic:spPr>
                    <a:xfrm>
                      <a:off x="0" y="0"/>
                      <a:ext cx="5742305" cy="4736465"/>
                    </a:xfrm>
                    <a:prstGeom prst="rect">
                      <a:avLst/>
                    </a:prstGeom>
                  </pic:spPr>
                </pic:pic>
              </a:graphicData>
            </a:graphic>
          </wp:inline>
        </w:drawing>
      </w:r>
    </w:p>
    <w:p w:rsidR="007906A8" w:rsidRPr="007906A8" w:rsidRDefault="007906A8" w:rsidP="007906A8">
      <w:pPr>
        <w:rPr>
          <w:lang w:val="bg"/>
        </w:rPr>
      </w:pPr>
    </w:p>
    <w:p w:rsidR="007906A8" w:rsidRDefault="007906A8" w:rsidP="007906A8">
      <w:pPr>
        <w:rPr>
          <w:rFonts w:ascii="Times New Roman" w:hAnsi="Times New Roman" w:cs="Times New Roman"/>
          <w:sz w:val="24"/>
          <w:szCs w:val="24"/>
          <w:lang w:val="bg"/>
        </w:rPr>
      </w:pPr>
      <w:bookmarkStart w:id="389" w:name="bookmark499"/>
      <w:r w:rsidRPr="00C23C5E">
        <w:rPr>
          <w:rFonts w:ascii="Times New Roman" w:hAnsi="Times New Roman" w:cs="Times New Roman"/>
          <w:sz w:val="24"/>
          <w:szCs w:val="24"/>
          <w:lang w:val="bg"/>
        </w:rPr>
        <w:t>Фигура 6 — Архитектура на системата OpenEM</w:t>
      </w:r>
      <w:bookmarkEnd w:id="389"/>
    </w:p>
    <w:p w:rsidR="0017315E" w:rsidRPr="0017315E" w:rsidRDefault="0017315E" w:rsidP="0017315E">
      <w:pPr>
        <w:pStyle w:val="Heading3"/>
        <w:spacing w:line="276" w:lineRule="auto"/>
        <w:jc w:val="both"/>
        <w:rPr>
          <w:rFonts w:ascii="Times New Roman" w:hAnsi="Times New Roman" w:cs="Times New Roman"/>
          <w:color w:val="24B1C0"/>
          <w:sz w:val="28"/>
          <w:szCs w:val="28"/>
          <w:lang w:val="bg-BG"/>
        </w:rPr>
      </w:pPr>
      <w:bookmarkStart w:id="390" w:name="_Toc203141330"/>
      <w:r w:rsidRPr="0017315E">
        <w:rPr>
          <w:rFonts w:ascii="Times New Roman" w:hAnsi="Times New Roman" w:cs="Times New Roman"/>
          <w:color w:val="24B1C0"/>
          <w:sz w:val="28"/>
          <w:szCs w:val="28"/>
        </w:rPr>
        <w:t xml:space="preserve">5.6.8 </w:t>
      </w:r>
      <w:r w:rsidRPr="0017315E">
        <w:rPr>
          <w:rFonts w:ascii="Times New Roman" w:hAnsi="Times New Roman" w:cs="Times New Roman"/>
          <w:color w:val="24B1C0"/>
          <w:sz w:val="28"/>
          <w:szCs w:val="28"/>
          <w:lang w:val="bg-BG"/>
        </w:rPr>
        <w:t>Насоки за развитие</w:t>
      </w:r>
      <w:bookmarkEnd w:id="390"/>
    </w:p>
    <w:p w:rsidR="0017315E" w:rsidRDefault="0017315E" w:rsidP="0017315E">
      <w:pPr>
        <w:spacing w:line="276" w:lineRule="auto"/>
        <w:jc w:val="both"/>
        <w:rPr>
          <w:rFonts w:ascii="Times New Roman" w:hAnsi="Times New Roman" w:cs="Times New Roman"/>
          <w:sz w:val="24"/>
          <w:szCs w:val="24"/>
          <w:lang w:val="bg"/>
        </w:rPr>
      </w:pPr>
      <w:r w:rsidRPr="0017315E">
        <w:rPr>
          <w:rFonts w:ascii="Times New Roman" w:hAnsi="Times New Roman" w:cs="Times New Roman"/>
          <w:sz w:val="24"/>
          <w:szCs w:val="24"/>
          <w:lang w:val="bg"/>
        </w:rPr>
        <w:t>Изходният код е достъпен онлайн на openems.io  и в GitHub . Нови версии се пускат всеки месец и са маркирани снадпис . Номерата на версиите се създават, като се използва моделът year.month.0, например версия 2022.1.0 е версията от януари 2022 г. Пач версията винаги е 0 и е запазена за частни дистрибуции. Git разработката следва Gitflow Workflow , така че основният клон  always държи стабилното издание, докато активното развитие се случва наразработчика   or в отделни функционални клонове. За разработка на Edge и Backend Java се препоръчва използването на Eclipse IDE . За потребителския интерфейс (TypeScript + Angular.io) препоръчваме Visual Studio Code . Документацията се генерира с помощта на AsciiDoc . За работа с git препор</w:t>
      </w:r>
      <w:r>
        <w:rPr>
          <w:rFonts w:ascii="Times New Roman" w:hAnsi="Times New Roman" w:cs="Times New Roman"/>
          <w:sz w:val="24"/>
          <w:szCs w:val="24"/>
          <w:lang w:val="bg"/>
        </w:rPr>
        <w:t xml:space="preserve">ъчваме Sourcetree by Atlassian </w:t>
      </w:r>
    </w:p>
    <w:p w:rsidR="00C23C5E" w:rsidRDefault="00C23C5E" w:rsidP="0017315E">
      <w:pPr>
        <w:spacing w:line="276" w:lineRule="auto"/>
        <w:ind w:left="-142" w:firstLine="142"/>
        <w:jc w:val="both"/>
        <w:rPr>
          <w:rFonts w:ascii="Times New Roman" w:hAnsi="Times New Roman" w:cs="Times New Roman"/>
          <w:sz w:val="24"/>
          <w:szCs w:val="24"/>
          <w:lang w:val="bg"/>
        </w:rPr>
      </w:pPr>
    </w:p>
    <w:p w:rsidR="0017315E" w:rsidRPr="0017315E" w:rsidRDefault="0017315E" w:rsidP="0017315E">
      <w:pPr>
        <w:pStyle w:val="Heading3"/>
        <w:spacing w:line="276" w:lineRule="auto"/>
        <w:jc w:val="both"/>
        <w:rPr>
          <w:rFonts w:ascii="Times New Roman" w:hAnsi="Times New Roman" w:cs="Times New Roman"/>
          <w:color w:val="24B1C0"/>
          <w:sz w:val="28"/>
          <w:szCs w:val="28"/>
          <w:lang w:val="bg"/>
        </w:rPr>
      </w:pPr>
      <w:bookmarkStart w:id="391" w:name="_Toc203141331"/>
      <w:r w:rsidRPr="0017315E">
        <w:rPr>
          <w:rFonts w:ascii="Times New Roman" w:hAnsi="Times New Roman" w:cs="Times New Roman"/>
          <w:color w:val="24B1C0"/>
          <w:sz w:val="28"/>
          <w:szCs w:val="28"/>
          <w:lang w:val="bg"/>
        </w:rPr>
        <w:t>5.6.9  Философия на отворения код</w:t>
      </w:r>
      <w:bookmarkEnd w:id="391"/>
    </w:p>
    <w:p w:rsidR="0017315E" w:rsidRPr="0017315E" w:rsidRDefault="0017315E" w:rsidP="0017315E">
      <w:pPr>
        <w:spacing w:line="276" w:lineRule="auto"/>
        <w:jc w:val="both"/>
        <w:rPr>
          <w:rFonts w:ascii="Times New Roman" w:hAnsi="Times New Roman" w:cs="Times New Roman"/>
          <w:sz w:val="24"/>
          <w:szCs w:val="24"/>
          <w:lang w:val="bg"/>
        </w:rPr>
      </w:pPr>
    </w:p>
    <w:p w:rsidR="0017315E" w:rsidRPr="0017315E" w:rsidRDefault="0017315E" w:rsidP="0017315E">
      <w:pPr>
        <w:spacing w:line="276" w:lineRule="auto"/>
        <w:jc w:val="both"/>
        <w:rPr>
          <w:rFonts w:ascii="Times New Roman" w:hAnsi="Times New Roman" w:cs="Times New Roman"/>
          <w:sz w:val="24"/>
          <w:szCs w:val="24"/>
          <w:lang w:val="bg"/>
        </w:rPr>
      </w:pPr>
      <w:r w:rsidRPr="0017315E">
        <w:rPr>
          <w:rFonts w:ascii="Times New Roman" w:hAnsi="Times New Roman" w:cs="Times New Roman"/>
          <w:sz w:val="24"/>
          <w:szCs w:val="24"/>
          <w:lang w:val="bg"/>
        </w:rPr>
        <w:t>Проектът OpenEMS се ръководи от OpenEMS Association e.V., мрежа от потребители, доставчици и научни институции от всички видове области като производители на хардуер, софтуерни компании, мрежови оператори и др. Те споделят общата цел за разработване на безплатна платформа с отворен код за енергийно управление, която подкрепя 100-</w:t>
      </w:r>
      <w:r w:rsidRPr="0017315E">
        <w:rPr>
          <w:rFonts w:ascii="Times New Roman" w:hAnsi="Times New Roman" w:cs="Times New Roman"/>
          <w:sz w:val="24"/>
          <w:szCs w:val="24"/>
          <w:lang w:val="bg"/>
        </w:rPr>
        <w:lastRenderedPageBreak/>
        <w:t>процентовия енергиен преход: „Приканваме трети страни да използват OpenEMS за свои собствени проекти и се радваме да ги подкрепим с първите им стъпки. Във всеки случай, ако проявявате интерес към OpenEMS, ще се радваме да се запознаем с Вас във форума на общността на OpenEMS „.</w:t>
      </w:r>
    </w:p>
    <w:p w:rsidR="0017315E" w:rsidRDefault="0017315E" w:rsidP="0017315E">
      <w:pPr>
        <w:spacing w:line="276" w:lineRule="auto"/>
        <w:jc w:val="both"/>
        <w:rPr>
          <w:rFonts w:ascii="Times New Roman" w:hAnsi="Times New Roman" w:cs="Times New Roman"/>
          <w:sz w:val="24"/>
          <w:szCs w:val="24"/>
          <w:lang w:val="bg"/>
        </w:rPr>
      </w:pPr>
      <w:r w:rsidRPr="0017315E">
        <w:rPr>
          <w:rFonts w:ascii="Times New Roman" w:hAnsi="Times New Roman" w:cs="Times New Roman"/>
          <w:sz w:val="24"/>
          <w:szCs w:val="24"/>
          <w:lang w:val="bg"/>
        </w:rPr>
        <w:t>Започна разработването на OpenEMS by FENECON GmbH , немска компания, специализирана в производството и разработването на проекти за системи за съхранение на енергия. Това е софтуерът зад FEMS - FENECON Energy Management System  и широко използван в частни, търговски и промишлени приложения. OpenEMS се финансира от няколко федерални и европейски проекта за финансиране.</w:t>
      </w:r>
    </w:p>
    <w:p w:rsidR="00AE1ED0" w:rsidRDefault="00AE1ED0" w:rsidP="0017315E">
      <w:pPr>
        <w:spacing w:line="276" w:lineRule="auto"/>
        <w:jc w:val="both"/>
        <w:rPr>
          <w:rFonts w:ascii="Times New Roman" w:hAnsi="Times New Roman" w:cs="Times New Roman"/>
          <w:sz w:val="24"/>
          <w:szCs w:val="24"/>
          <w:lang w:val="bg"/>
        </w:rPr>
      </w:pPr>
    </w:p>
    <w:p w:rsidR="00AE1ED0" w:rsidRDefault="00AE1ED0" w:rsidP="00B01311">
      <w:pPr>
        <w:pStyle w:val="Heading1"/>
        <w:numPr>
          <w:ilvl w:val="0"/>
          <w:numId w:val="146"/>
        </w:numPr>
        <w:spacing w:line="276" w:lineRule="auto"/>
        <w:jc w:val="both"/>
        <w:rPr>
          <w:rFonts w:ascii="Times New Roman" w:hAnsi="Times New Roman" w:cs="Times New Roman"/>
          <w:color w:val="24B1C0"/>
          <w:lang w:val="bg"/>
        </w:rPr>
      </w:pPr>
      <w:bookmarkStart w:id="392" w:name="bookmark507"/>
      <w:bookmarkStart w:id="393" w:name="bookmark506"/>
      <w:bookmarkStart w:id="394" w:name="_Toc203141332"/>
      <w:r w:rsidRPr="00AE1ED0">
        <w:rPr>
          <w:rFonts w:ascii="Times New Roman" w:hAnsi="Times New Roman" w:cs="Times New Roman"/>
          <w:color w:val="24B1C0"/>
          <w:lang w:val="bg"/>
        </w:rPr>
        <w:t>Позовавания на най-добри практики от други държави, които са напреднали по темата за енергийната общност и използват платформи за данни от този вид</w:t>
      </w:r>
      <w:bookmarkEnd w:id="392"/>
      <w:bookmarkEnd w:id="393"/>
      <w:bookmarkEnd w:id="394"/>
    </w:p>
    <w:p w:rsidR="00AE1ED0" w:rsidRPr="00AE1ED0" w:rsidRDefault="00AE1ED0" w:rsidP="00AE1ED0">
      <w:pPr>
        <w:pStyle w:val="ListParagraph"/>
        <w:ind w:left="375"/>
        <w:rPr>
          <w:lang w:val="bg"/>
        </w:rPr>
      </w:pPr>
    </w:p>
    <w:p w:rsidR="00AE1ED0" w:rsidRPr="00AE1ED0" w:rsidRDefault="00AE1ED0" w:rsidP="00AE1ED0">
      <w:pPr>
        <w:pStyle w:val="Heading2"/>
        <w:spacing w:line="276" w:lineRule="auto"/>
        <w:jc w:val="both"/>
        <w:rPr>
          <w:rFonts w:ascii="Times New Roman" w:hAnsi="Times New Roman" w:cs="Times New Roman"/>
          <w:color w:val="24B1C0"/>
          <w:sz w:val="30"/>
          <w:szCs w:val="30"/>
        </w:rPr>
      </w:pPr>
      <w:bookmarkStart w:id="395" w:name="bookmark510"/>
      <w:bookmarkStart w:id="396" w:name="bookmark509"/>
      <w:bookmarkStart w:id="397" w:name="_Toc203141333"/>
      <w:r w:rsidRPr="00AE1ED0">
        <w:rPr>
          <w:rFonts w:ascii="Times New Roman" w:hAnsi="Times New Roman" w:cs="Times New Roman"/>
          <w:color w:val="24B1C0"/>
          <w:sz w:val="30"/>
          <w:szCs w:val="30"/>
          <w:lang w:val="bg-BG"/>
        </w:rPr>
        <w:t xml:space="preserve">6.1  </w:t>
      </w:r>
      <w:r w:rsidRPr="00AE1ED0">
        <w:rPr>
          <w:rFonts w:ascii="Times New Roman" w:hAnsi="Times New Roman" w:cs="Times New Roman"/>
          <w:color w:val="24B1C0"/>
          <w:sz w:val="30"/>
          <w:szCs w:val="30"/>
        </w:rPr>
        <w:t>Франция</w:t>
      </w:r>
      <w:bookmarkEnd w:id="395"/>
      <w:bookmarkEnd w:id="396"/>
      <w:bookmarkEnd w:id="397"/>
    </w:p>
    <w:p w:rsidR="00AE1ED0" w:rsidRPr="00AE1ED0" w:rsidRDefault="00AE1ED0" w:rsidP="00AE1ED0">
      <w:pPr>
        <w:spacing w:line="276" w:lineRule="auto"/>
        <w:jc w:val="both"/>
        <w:rPr>
          <w:rFonts w:ascii="Times New Roman" w:hAnsi="Times New Roman" w:cs="Times New Roman"/>
          <w:sz w:val="24"/>
          <w:szCs w:val="24"/>
        </w:rPr>
      </w:pPr>
    </w:p>
    <w:p w:rsidR="00AE1ED0" w:rsidRPr="00AE1ED0" w:rsidRDefault="00AE1ED0" w:rsidP="00AE1ED0">
      <w:pPr>
        <w:pStyle w:val="Heading3"/>
        <w:spacing w:line="276" w:lineRule="auto"/>
        <w:jc w:val="both"/>
        <w:rPr>
          <w:rFonts w:ascii="Times New Roman" w:hAnsi="Times New Roman" w:cs="Times New Roman"/>
          <w:color w:val="24B1C0"/>
          <w:sz w:val="28"/>
          <w:szCs w:val="28"/>
          <w:u w:val="single"/>
          <w:lang w:val="bg"/>
        </w:rPr>
      </w:pPr>
      <w:bookmarkStart w:id="398" w:name="_Toc203141334"/>
      <w:r>
        <w:rPr>
          <w:rFonts w:ascii="Times New Roman" w:hAnsi="Times New Roman" w:cs="Times New Roman"/>
          <w:color w:val="24B1C0"/>
          <w:sz w:val="28"/>
          <w:szCs w:val="28"/>
          <w:lang w:val="bg"/>
        </w:rPr>
        <w:t xml:space="preserve">6.1.1 </w:t>
      </w:r>
      <w:r w:rsidRPr="00AE1ED0">
        <w:rPr>
          <w:rFonts w:ascii="Times New Roman" w:hAnsi="Times New Roman" w:cs="Times New Roman"/>
          <w:color w:val="24B1C0"/>
          <w:sz w:val="28"/>
          <w:szCs w:val="28"/>
          <w:lang w:val="bg"/>
        </w:rPr>
        <w:t>Правна рамка Франция</w:t>
      </w:r>
      <w:bookmarkEnd w:id="398"/>
      <w:r w:rsidR="00DD6AF8">
        <w:rPr>
          <w:rStyle w:val="FootnoteReference"/>
          <w:rFonts w:ascii="Times New Roman" w:hAnsi="Times New Roman" w:cs="Times New Roman"/>
          <w:color w:val="24B1C0"/>
          <w:sz w:val="28"/>
          <w:szCs w:val="28"/>
          <w:lang w:val="bg"/>
        </w:rPr>
        <w:footnoteReference w:id="114"/>
      </w:r>
    </w:p>
    <w:p w:rsidR="00AE1ED0" w:rsidRPr="00AE1ED0" w:rsidRDefault="00AE1ED0" w:rsidP="00AE1ED0">
      <w:pPr>
        <w:spacing w:line="276" w:lineRule="auto"/>
        <w:jc w:val="both"/>
        <w:rPr>
          <w:rFonts w:ascii="Times New Roman" w:hAnsi="Times New Roman" w:cs="Times New Roman"/>
          <w:sz w:val="24"/>
          <w:szCs w:val="24"/>
          <w:lang w:val="bg"/>
        </w:rPr>
      </w:pPr>
    </w:p>
    <w:p w:rsidR="00AE1ED0" w:rsidRPr="00AE1ED0" w:rsidRDefault="00AE1ED0" w:rsidP="00AE1ED0">
      <w:pPr>
        <w:spacing w:line="276" w:lineRule="auto"/>
        <w:jc w:val="both"/>
        <w:rPr>
          <w:rFonts w:ascii="Times New Roman" w:hAnsi="Times New Roman" w:cs="Times New Roman"/>
          <w:sz w:val="24"/>
          <w:szCs w:val="24"/>
          <w:lang w:val="bg"/>
        </w:rPr>
      </w:pPr>
      <w:r w:rsidRPr="00AE1ED0">
        <w:rPr>
          <w:rFonts w:ascii="Times New Roman" w:hAnsi="Times New Roman" w:cs="Times New Roman"/>
          <w:sz w:val="24"/>
          <w:szCs w:val="24"/>
          <w:lang w:val="bg"/>
        </w:rPr>
        <w:t>Франция е включила законодателна рамка както за РЕЦ, така и за ЦЕЦ в своя енергиен кодекс.</w:t>
      </w:r>
      <w:hyperlink w:anchor="bookmark133" w:tooltip="Current Document">
        <w:r w:rsidRPr="002E2E94">
          <w:rPr>
            <w:rStyle w:val="Hyperlink"/>
            <w:rFonts w:ascii="Times New Roman" w:hAnsi="Times New Roman" w:cs="Times New Roman"/>
            <w:sz w:val="24"/>
            <w:szCs w:val="24"/>
            <w:vertAlign w:val="superscript"/>
            <w:lang w:val="bg"/>
          </w:rPr>
          <w:footnoteReference w:id="115"/>
        </w:r>
      </w:hyperlink>
      <w:r w:rsidRPr="00AE1ED0">
        <w:rPr>
          <w:rFonts w:ascii="Times New Roman" w:hAnsi="Times New Roman" w:cs="Times New Roman"/>
          <w:sz w:val="24"/>
          <w:szCs w:val="24"/>
          <w:lang w:val="bg"/>
        </w:rPr>
        <w:t xml:space="preserve"> Тази рамка обхваща определения, права и задължения, благоприятстващи рамки и схеми за подпомагане. Рамката съчетава предишния подход на проекти с широко участие и енергийни общности, което води до донякъде сложна структура.</w:t>
      </w:r>
    </w:p>
    <w:p w:rsidR="00AE1ED0" w:rsidRPr="00AE1ED0" w:rsidRDefault="00AE1ED0" w:rsidP="00AE1ED0">
      <w:pPr>
        <w:spacing w:line="276" w:lineRule="auto"/>
        <w:jc w:val="both"/>
        <w:rPr>
          <w:rFonts w:ascii="Times New Roman" w:hAnsi="Times New Roman" w:cs="Times New Roman"/>
          <w:sz w:val="24"/>
          <w:szCs w:val="24"/>
          <w:lang w:val="bg"/>
        </w:rPr>
      </w:pPr>
      <w:r w:rsidRPr="00AE1ED0">
        <w:rPr>
          <w:rFonts w:ascii="Times New Roman" w:hAnsi="Times New Roman" w:cs="Times New Roman"/>
          <w:b/>
          <w:bCs/>
          <w:sz w:val="24"/>
          <w:szCs w:val="24"/>
          <w:lang w:val="bg"/>
        </w:rPr>
        <w:t>REC:</w:t>
      </w:r>
      <w:r w:rsidRPr="00AE1ED0">
        <w:rPr>
          <w:rFonts w:ascii="Times New Roman" w:hAnsi="Times New Roman" w:cs="Times New Roman"/>
          <w:sz w:val="24"/>
          <w:szCs w:val="24"/>
          <w:lang w:val="bg"/>
        </w:rPr>
        <w:t xml:space="preserve"> Юридическо лице, основано на открито и доброволно участие, което е автономно. Тя се контролира от акционери или членове, близки до проектите за енергия от възобновяеми източници, за които е абонирала и разработила. Основната цел на REC е да осигури екологични, икономически или социални ползи за своите акционери, членове или местните райони, в които извършва дейност, а не да генерира финансови печалби.</w:t>
      </w:r>
    </w:p>
    <w:p w:rsidR="00AE1ED0" w:rsidRPr="00AE1ED0" w:rsidRDefault="00AE1ED0" w:rsidP="00AE1ED0">
      <w:pPr>
        <w:spacing w:line="276" w:lineRule="auto"/>
        <w:jc w:val="both"/>
        <w:rPr>
          <w:rFonts w:ascii="Times New Roman" w:hAnsi="Times New Roman" w:cs="Times New Roman"/>
          <w:sz w:val="24"/>
          <w:szCs w:val="24"/>
          <w:lang w:val="bg"/>
        </w:rPr>
      </w:pPr>
      <w:r w:rsidRPr="00AE1ED0">
        <w:rPr>
          <w:rFonts w:ascii="Times New Roman" w:hAnsi="Times New Roman" w:cs="Times New Roman"/>
          <w:sz w:val="24"/>
          <w:szCs w:val="24"/>
          <w:lang w:val="bg"/>
        </w:rPr>
        <w:tab/>
      </w:r>
      <w:r w:rsidRPr="00AE1ED0">
        <w:rPr>
          <w:rFonts w:ascii="Times New Roman" w:hAnsi="Times New Roman" w:cs="Times New Roman"/>
          <w:b/>
          <w:bCs/>
          <w:sz w:val="24"/>
          <w:szCs w:val="24"/>
          <w:lang w:val="bg"/>
        </w:rPr>
        <w:t>CEC:</w:t>
      </w:r>
      <w:r w:rsidRPr="00AE1ED0">
        <w:rPr>
          <w:rFonts w:ascii="Times New Roman" w:hAnsi="Times New Roman" w:cs="Times New Roman"/>
          <w:sz w:val="24"/>
          <w:szCs w:val="24"/>
          <w:lang w:val="bg"/>
        </w:rPr>
        <w:t xml:space="preserve"> Правно образувание, основано на открито и доброволно участие на всякакъв вид членове или акционери. Подобно на </w:t>
      </w:r>
      <w:r w:rsidRPr="00AE1ED0">
        <w:rPr>
          <w:rFonts w:ascii="Times New Roman" w:hAnsi="Times New Roman" w:cs="Times New Roman"/>
          <w:sz w:val="24"/>
          <w:szCs w:val="24"/>
        </w:rPr>
        <w:t>REC</w:t>
      </w:r>
      <w:r w:rsidRPr="00AE1ED0">
        <w:rPr>
          <w:rFonts w:ascii="Times New Roman" w:hAnsi="Times New Roman" w:cs="Times New Roman"/>
          <w:sz w:val="24"/>
          <w:szCs w:val="24"/>
          <w:lang w:val="bg"/>
        </w:rPr>
        <w:t xml:space="preserve">,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трябва да бъде автономна и да има за цел да осигурява екологични, икономически или социални ползи за своите членове, акционери или местни райони на дейност, вместо финансови печалби. Ефективният контрол в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може да се упражнява само от физически лица; местните органи и техните обединения; акционерни дружества с публичен и частен капитал; или малки предприятия, доколкото те са автономни.</w:t>
      </w:r>
    </w:p>
    <w:p w:rsidR="00AE1ED0" w:rsidRPr="00AE1ED0" w:rsidRDefault="00AE1ED0" w:rsidP="00AE1ED0">
      <w:pPr>
        <w:spacing w:line="276" w:lineRule="auto"/>
        <w:jc w:val="both"/>
        <w:rPr>
          <w:rFonts w:ascii="Times New Roman" w:hAnsi="Times New Roman" w:cs="Times New Roman"/>
          <w:sz w:val="24"/>
          <w:szCs w:val="24"/>
          <w:lang w:val="bg"/>
        </w:rPr>
      </w:pPr>
      <w:r w:rsidRPr="00AE1ED0">
        <w:rPr>
          <w:rFonts w:ascii="Times New Roman" w:hAnsi="Times New Roman" w:cs="Times New Roman"/>
          <w:sz w:val="24"/>
          <w:szCs w:val="24"/>
          <w:lang w:val="bg"/>
        </w:rPr>
        <w:lastRenderedPageBreak/>
        <w:t xml:space="preserve">Както </w:t>
      </w:r>
      <w:r w:rsidRPr="00AE1ED0">
        <w:rPr>
          <w:rFonts w:ascii="Times New Roman" w:hAnsi="Times New Roman" w:cs="Times New Roman"/>
          <w:sz w:val="24"/>
          <w:szCs w:val="24"/>
        </w:rPr>
        <w:t>REC</w:t>
      </w:r>
      <w:r w:rsidRPr="00AE1ED0">
        <w:rPr>
          <w:rFonts w:ascii="Times New Roman" w:hAnsi="Times New Roman" w:cs="Times New Roman"/>
          <w:sz w:val="24"/>
          <w:szCs w:val="24"/>
          <w:lang w:val="bg"/>
        </w:rPr>
        <w:t xml:space="preserve">, така и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могат да бъдат под формата на дружество с ограничена отговорност; опростено акционерно дружество; кооперация от колективен интерес; или сдружение.</w:t>
      </w:r>
    </w:p>
    <w:p w:rsidR="00AE1ED0" w:rsidRPr="00AE1ED0" w:rsidRDefault="00AE1ED0" w:rsidP="00AE1ED0">
      <w:pPr>
        <w:spacing w:line="276" w:lineRule="auto"/>
        <w:jc w:val="both"/>
        <w:rPr>
          <w:rFonts w:ascii="Times New Roman" w:hAnsi="Times New Roman" w:cs="Times New Roman"/>
          <w:sz w:val="24"/>
          <w:szCs w:val="24"/>
          <w:lang w:val="bg"/>
        </w:rPr>
      </w:pPr>
      <w:r w:rsidRPr="00AE1ED0">
        <w:rPr>
          <w:rFonts w:ascii="Times New Roman" w:hAnsi="Times New Roman" w:cs="Times New Roman"/>
          <w:b/>
          <w:bCs/>
          <w:sz w:val="24"/>
          <w:szCs w:val="24"/>
          <w:lang w:val="bg"/>
        </w:rPr>
        <w:t>Права и задължения:</w:t>
      </w:r>
    </w:p>
    <w:p w:rsidR="00AE1ED0" w:rsidRPr="00AE1ED0" w:rsidRDefault="00AE1ED0" w:rsidP="00B01311">
      <w:pPr>
        <w:numPr>
          <w:ilvl w:val="0"/>
          <w:numId w:val="159"/>
        </w:numPr>
        <w:spacing w:line="276" w:lineRule="auto"/>
        <w:jc w:val="both"/>
        <w:rPr>
          <w:rFonts w:ascii="Times New Roman" w:hAnsi="Times New Roman" w:cs="Times New Roman"/>
          <w:sz w:val="24"/>
          <w:szCs w:val="24"/>
          <w:lang w:val="bg"/>
        </w:rPr>
      </w:pPr>
      <w:r w:rsidRPr="00AE1ED0">
        <w:rPr>
          <w:rFonts w:ascii="Times New Roman" w:hAnsi="Times New Roman" w:cs="Times New Roman"/>
          <w:sz w:val="24"/>
          <w:szCs w:val="24"/>
          <w:lang w:val="bg"/>
        </w:rPr>
        <w:t xml:space="preserve">Както </w:t>
      </w:r>
      <w:r w:rsidRPr="00AE1ED0">
        <w:rPr>
          <w:rFonts w:ascii="Times New Roman" w:hAnsi="Times New Roman" w:cs="Times New Roman"/>
          <w:sz w:val="24"/>
          <w:szCs w:val="24"/>
        </w:rPr>
        <w:t>REC</w:t>
      </w:r>
      <w:r w:rsidRPr="00AE1ED0">
        <w:rPr>
          <w:rFonts w:ascii="Times New Roman" w:hAnsi="Times New Roman" w:cs="Times New Roman"/>
          <w:sz w:val="24"/>
          <w:szCs w:val="24"/>
          <w:lang w:val="bg"/>
        </w:rPr>
        <w:t xml:space="preserve">, така и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са групирани в концепцията за енергийни общности. Някои разпоредби се прилагат както за REC, така и за CEC.</w:t>
      </w:r>
    </w:p>
    <w:p w:rsidR="00AE1ED0" w:rsidRPr="00AE1ED0" w:rsidRDefault="00AE1ED0" w:rsidP="00B01311">
      <w:pPr>
        <w:numPr>
          <w:ilvl w:val="0"/>
          <w:numId w:val="159"/>
        </w:numPr>
        <w:spacing w:line="276" w:lineRule="auto"/>
        <w:jc w:val="both"/>
        <w:rPr>
          <w:rFonts w:ascii="Times New Roman" w:hAnsi="Times New Roman" w:cs="Times New Roman"/>
          <w:sz w:val="24"/>
          <w:szCs w:val="24"/>
          <w:lang w:val="bg"/>
        </w:rPr>
      </w:pPr>
      <w:r w:rsidRPr="00AE1ED0">
        <w:rPr>
          <w:rFonts w:ascii="Times New Roman" w:hAnsi="Times New Roman" w:cs="Times New Roman"/>
          <w:b/>
          <w:bCs/>
          <w:sz w:val="24"/>
          <w:szCs w:val="24"/>
          <w:lang w:val="bg"/>
        </w:rPr>
        <w:t>Общност за възобновяема енергия:</w:t>
      </w:r>
      <w:r w:rsidRPr="00AE1ED0">
        <w:rPr>
          <w:rFonts w:ascii="Times New Roman" w:hAnsi="Times New Roman" w:cs="Times New Roman"/>
          <w:sz w:val="24"/>
          <w:szCs w:val="24"/>
          <w:lang w:val="bg"/>
        </w:rPr>
        <w:t xml:space="preserve"> Може да произвежда, потребява, съхранява и продава енергия от възобновяеми източници, включително чрез </w:t>
      </w:r>
      <w:r w:rsidRPr="00AE1ED0">
        <w:rPr>
          <w:rFonts w:ascii="Times New Roman" w:hAnsi="Times New Roman" w:cs="Times New Roman"/>
          <w:sz w:val="24"/>
          <w:szCs w:val="24"/>
        </w:rPr>
        <w:t>PPAs</w:t>
      </w:r>
      <w:r w:rsidRPr="00AE1ED0">
        <w:rPr>
          <w:rFonts w:ascii="Times New Roman" w:hAnsi="Times New Roman" w:cs="Times New Roman"/>
          <w:sz w:val="24"/>
          <w:szCs w:val="24"/>
          <w:lang w:val="bg"/>
        </w:rPr>
        <w:t xml:space="preserve"> за енергия от възобновяеми източници. </w:t>
      </w:r>
      <w:r w:rsidRPr="00AE1ED0">
        <w:rPr>
          <w:rFonts w:ascii="Times New Roman" w:hAnsi="Times New Roman" w:cs="Times New Roman"/>
          <w:sz w:val="24"/>
          <w:szCs w:val="24"/>
        </w:rPr>
        <w:t>REC</w:t>
      </w:r>
      <w:r w:rsidRPr="00AE1ED0">
        <w:rPr>
          <w:rFonts w:ascii="Times New Roman" w:hAnsi="Times New Roman" w:cs="Times New Roman"/>
          <w:sz w:val="24"/>
          <w:szCs w:val="24"/>
          <w:lang w:val="bg"/>
        </w:rPr>
        <w:t xml:space="preserve"> могат да имат достъп до всички съответни енергийни пазари, пряко или чрез агрегиране, по недискриминационен начин.</w:t>
      </w:r>
    </w:p>
    <w:p w:rsidR="00AE1ED0" w:rsidRDefault="00AE1ED0" w:rsidP="00B01311">
      <w:pPr>
        <w:numPr>
          <w:ilvl w:val="0"/>
          <w:numId w:val="159"/>
        </w:numPr>
        <w:spacing w:line="276" w:lineRule="auto"/>
        <w:jc w:val="both"/>
        <w:rPr>
          <w:rFonts w:ascii="Times New Roman" w:hAnsi="Times New Roman" w:cs="Times New Roman"/>
          <w:sz w:val="24"/>
          <w:szCs w:val="24"/>
          <w:lang w:val="bg"/>
        </w:rPr>
      </w:pPr>
      <w:r w:rsidRPr="00AE1ED0">
        <w:rPr>
          <w:rFonts w:ascii="Times New Roman" w:hAnsi="Times New Roman" w:cs="Times New Roman"/>
          <w:b/>
          <w:bCs/>
          <w:sz w:val="24"/>
          <w:szCs w:val="24"/>
          <w:lang w:val="bg"/>
        </w:rPr>
        <w:t>Гражданска енергийна общност:</w:t>
      </w:r>
      <w:r w:rsidRPr="00AE1ED0">
        <w:rPr>
          <w:rFonts w:ascii="Times New Roman" w:hAnsi="Times New Roman" w:cs="Times New Roman"/>
          <w:sz w:val="24"/>
          <w:szCs w:val="24"/>
          <w:lang w:val="bg"/>
        </w:rPr>
        <w:t xml:space="preserve"> Може да се занимава с производство (включително от възобновяеми енергийни източници), доставка, агрегиране, съхранение и продажба на електроенергия.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могат също така да предоставят различни енергийни услуги на своите членове, като например енергийна ефективност и зареждане на електрически превозни средства. </w:t>
      </w:r>
      <w:r w:rsidRPr="00AE1ED0">
        <w:rPr>
          <w:rFonts w:ascii="Times New Roman" w:hAnsi="Times New Roman" w:cs="Times New Roman"/>
          <w:sz w:val="24"/>
          <w:szCs w:val="24"/>
        </w:rPr>
        <w:t>CEC</w:t>
      </w:r>
      <w:r w:rsidRPr="00AE1ED0">
        <w:rPr>
          <w:rFonts w:ascii="Times New Roman" w:hAnsi="Times New Roman" w:cs="Times New Roman"/>
          <w:sz w:val="24"/>
          <w:szCs w:val="24"/>
          <w:lang w:val="bg"/>
        </w:rPr>
        <w:t xml:space="preserve"> могат да имат достъп до всички съответни пазари на електроенергия, пряко или чрез агрегиране, по недискриминационен начин.</w:t>
      </w:r>
    </w:p>
    <w:p w:rsidR="00DC7000" w:rsidRPr="00AE1ED0" w:rsidRDefault="00DC7000" w:rsidP="00DC7000">
      <w:pPr>
        <w:spacing w:line="276" w:lineRule="auto"/>
        <w:ind w:left="720"/>
        <w:jc w:val="both"/>
        <w:rPr>
          <w:rFonts w:ascii="Times New Roman" w:hAnsi="Times New Roman" w:cs="Times New Roman"/>
          <w:sz w:val="24"/>
          <w:szCs w:val="24"/>
          <w:lang w:val="bg"/>
        </w:rPr>
      </w:pPr>
    </w:p>
    <w:p w:rsidR="007906A8" w:rsidRPr="005B33B6" w:rsidRDefault="007906A8" w:rsidP="00AE1ED0">
      <w:pPr>
        <w:spacing w:line="276" w:lineRule="auto"/>
        <w:jc w:val="both"/>
        <w:rPr>
          <w:rFonts w:ascii="Times New Roman" w:hAnsi="Times New Roman" w:cs="Times New Roman"/>
          <w:sz w:val="24"/>
          <w:szCs w:val="24"/>
          <w:lang w:val="bg"/>
        </w:rPr>
      </w:pPr>
      <w:r w:rsidRPr="005B33B6">
        <w:rPr>
          <w:rFonts w:ascii="Times New Roman" w:hAnsi="Times New Roman" w:cs="Times New Roman"/>
          <w:sz w:val="24"/>
          <w:szCs w:val="24"/>
          <w:lang w:val="bg"/>
        </w:rPr>
        <w:t xml:space="preserve">В закона е очертана обща благоприятна рамка както за </w:t>
      </w:r>
      <w:r w:rsidRPr="005B33B6">
        <w:rPr>
          <w:rFonts w:ascii="Times New Roman" w:hAnsi="Times New Roman" w:cs="Times New Roman"/>
          <w:sz w:val="24"/>
          <w:szCs w:val="24"/>
        </w:rPr>
        <w:t>REC</w:t>
      </w:r>
      <w:r w:rsidRPr="005B33B6">
        <w:rPr>
          <w:rFonts w:ascii="Times New Roman" w:hAnsi="Times New Roman" w:cs="Times New Roman"/>
          <w:sz w:val="24"/>
          <w:szCs w:val="24"/>
          <w:lang w:val="bg"/>
        </w:rPr>
        <w:t xml:space="preserve">, така и за </w:t>
      </w:r>
      <w:r w:rsidRPr="005B33B6">
        <w:rPr>
          <w:rFonts w:ascii="Times New Roman" w:hAnsi="Times New Roman" w:cs="Times New Roman"/>
          <w:sz w:val="24"/>
          <w:szCs w:val="24"/>
        </w:rPr>
        <w:t>CEC</w:t>
      </w:r>
      <w:r w:rsidRPr="005B33B6">
        <w:rPr>
          <w:rFonts w:ascii="Times New Roman" w:hAnsi="Times New Roman" w:cs="Times New Roman"/>
          <w:sz w:val="24"/>
          <w:szCs w:val="24"/>
          <w:lang w:val="bg"/>
        </w:rPr>
        <w:t>, която ще се прилага и за двата вида инициативи, определени като енергийни общности. ОРС за електроенергия, газ и централно отопление трябва да си сътрудничат с енергийните общности за споделяне на енергия. Енергийните общности се ползват от пропорционално и недискриминационно третиране на своите права, дейности и задължения като крайни потребители, производители, доставчици и пазарни оператори. Енергийните общности трябва да декларират своите инсталации пред операторите на разпределителни системи за електроенергия, газ, отопление и охлаждане преди пускането им в експлоатация и използването на мрежата.</w:t>
      </w:r>
    </w:p>
    <w:p w:rsidR="007906A8" w:rsidRPr="005B33B6" w:rsidRDefault="007906A8" w:rsidP="00AE1ED0">
      <w:pPr>
        <w:spacing w:line="276" w:lineRule="auto"/>
        <w:jc w:val="both"/>
        <w:rPr>
          <w:rFonts w:ascii="Times New Roman" w:hAnsi="Times New Roman" w:cs="Times New Roman"/>
          <w:sz w:val="24"/>
          <w:szCs w:val="24"/>
          <w:lang w:val="bg"/>
        </w:rPr>
      </w:pPr>
      <w:r w:rsidRPr="005B33B6">
        <w:rPr>
          <w:rFonts w:ascii="Times New Roman" w:hAnsi="Times New Roman" w:cs="Times New Roman"/>
          <w:sz w:val="24"/>
          <w:szCs w:val="24"/>
          <w:lang w:val="bg"/>
        </w:rPr>
        <w:t>Доколкото споделянето на енергия се счита за колективно собствено потребление (CSC), регулаторът определя специфични мрежови тарифи за потребителите, участващи в операции по собствено потребление, така че тези потребители да не плащат такси за достъп, които не отразяват разходите на операторите на разпределителни системи.</w:t>
      </w:r>
    </w:p>
    <w:p w:rsidR="007906A8" w:rsidRPr="005B33B6" w:rsidRDefault="007906A8" w:rsidP="00AE1ED0">
      <w:pPr>
        <w:spacing w:line="276" w:lineRule="auto"/>
        <w:jc w:val="both"/>
        <w:rPr>
          <w:rFonts w:ascii="Times New Roman" w:hAnsi="Times New Roman" w:cs="Times New Roman"/>
          <w:sz w:val="24"/>
          <w:szCs w:val="24"/>
          <w:lang w:val="bg"/>
        </w:rPr>
      </w:pPr>
      <w:r w:rsidRPr="005B33B6">
        <w:rPr>
          <w:rFonts w:ascii="Times New Roman" w:hAnsi="Times New Roman" w:cs="Times New Roman"/>
          <w:sz w:val="24"/>
          <w:szCs w:val="24"/>
          <w:lang w:val="bg"/>
        </w:rPr>
        <w:t>Многогодишната енергийна програма</w:t>
      </w:r>
      <w:hyperlink w:anchor="bookmark134" w:tooltip="Current Document">
        <w:r w:rsidRPr="002E2E94">
          <w:rPr>
            <w:rStyle w:val="Hyperlink"/>
            <w:rFonts w:ascii="Times New Roman" w:hAnsi="Times New Roman" w:cs="Times New Roman"/>
            <w:sz w:val="24"/>
            <w:szCs w:val="24"/>
            <w:vertAlign w:val="superscript"/>
            <w:lang w:val="bg"/>
          </w:rPr>
          <w:footnoteReference w:id="116"/>
        </w:r>
      </w:hyperlink>
      <w:r w:rsidRPr="005B33B6">
        <w:rPr>
          <w:rFonts w:ascii="Times New Roman" w:hAnsi="Times New Roman" w:cs="Times New Roman"/>
          <w:sz w:val="24"/>
          <w:szCs w:val="24"/>
          <w:lang w:val="bg"/>
        </w:rPr>
        <w:t xml:space="preserve"> ще включва глава относно балансираното развитие на мрежата, съхранението, преобразуването на енергията и реакцията на потреблението в подкрепа на местното производство на енергия, интелигентните мрежи и собственото потребление. Франция също така е създала специална рамка за публично предлагане за финансиране на проекти за производство на енергия от възобновяеми източници от граждани и местни органи.</w:t>
      </w:r>
    </w:p>
    <w:p w:rsidR="007906A8" w:rsidRDefault="007906A8" w:rsidP="00B01311">
      <w:pPr>
        <w:pStyle w:val="Heading3"/>
        <w:numPr>
          <w:ilvl w:val="2"/>
          <w:numId w:val="187"/>
        </w:numPr>
        <w:spacing w:line="276" w:lineRule="auto"/>
        <w:jc w:val="both"/>
        <w:rPr>
          <w:rFonts w:ascii="Times New Roman" w:hAnsi="Times New Roman" w:cs="Times New Roman"/>
          <w:color w:val="24B1C0"/>
          <w:sz w:val="28"/>
          <w:szCs w:val="28"/>
          <w:lang w:val="bg"/>
        </w:rPr>
      </w:pPr>
      <w:bookmarkStart w:id="399" w:name="bookmark516"/>
      <w:bookmarkStart w:id="400" w:name="bookmark515"/>
      <w:bookmarkStart w:id="401" w:name="_Toc203141335"/>
      <w:r w:rsidRPr="00F75B07">
        <w:rPr>
          <w:rFonts w:ascii="Times New Roman" w:hAnsi="Times New Roman" w:cs="Times New Roman"/>
          <w:color w:val="24B1C0"/>
          <w:sz w:val="28"/>
          <w:szCs w:val="28"/>
          <w:lang w:val="bg"/>
        </w:rPr>
        <w:t>Интелигентни измервателни уреди и платформи за данни</w:t>
      </w:r>
      <w:bookmarkEnd w:id="399"/>
      <w:bookmarkEnd w:id="400"/>
      <w:bookmarkEnd w:id="401"/>
    </w:p>
    <w:p w:rsidR="00F75B07" w:rsidRPr="00F75B07" w:rsidRDefault="00F75B07" w:rsidP="00AE1ED0">
      <w:pPr>
        <w:pStyle w:val="ListParagraph"/>
        <w:ind w:left="0"/>
        <w:rPr>
          <w:lang w:val="bg"/>
        </w:rPr>
      </w:pPr>
    </w:p>
    <w:p w:rsidR="007906A8" w:rsidRPr="005B33B6" w:rsidRDefault="007906A8" w:rsidP="00AE1ED0">
      <w:pPr>
        <w:spacing w:line="276" w:lineRule="auto"/>
        <w:jc w:val="both"/>
        <w:rPr>
          <w:rFonts w:ascii="Times New Roman" w:hAnsi="Times New Roman" w:cs="Times New Roman"/>
          <w:sz w:val="24"/>
          <w:szCs w:val="24"/>
          <w:lang w:val="bg"/>
        </w:rPr>
      </w:pPr>
      <w:r w:rsidRPr="005B33B6">
        <w:rPr>
          <w:rFonts w:ascii="Times New Roman" w:hAnsi="Times New Roman" w:cs="Times New Roman"/>
          <w:sz w:val="24"/>
          <w:szCs w:val="24"/>
          <w:lang w:val="bg"/>
        </w:rPr>
        <w:lastRenderedPageBreak/>
        <w:t>Към 2023 г. Франция е постигнала приблизително 94 % покритие на интелигентните измервателни уреди. Въвеждането започна през декември 2015 г. с цел инсталиране на 35 милиона метра до края на 2021 г. Внедряването е до голяма степен успешно, като Enedis, основният ОРС, продължава да управлява и оптимизира мрежата.</w:t>
      </w:r>
    </w:p>
    <w:p w:rsidR="007906A8" w:rsidRPr="005B33B6" w:rsidRDefault="007906A8" w:rsidP="00AE1ED0">
      <w:pPr>
        <w:spacing w:line="276" w:lineRule="auto"/>
        <w:jc w:val="both"/>
        <w:rPr>
          <w:rFonts w:ascii="Times New Roman" w:hAnsi="Times New Roman" w:cs="Times New Roman"/>
          <w:sz w:val="24"/>
          <w:szCs w:val="24"/>
          <w:lang w:val="bg"/>
        </w:rPr>
      </w:pPr>
      <w:r w:rsidRPr="005B33B6">
        <w:rPr>
          <w:rFonts w:ascii="Times New Roman" w:hAnsi="Times New Roman" w:cs="Times New Roman"/>
          <w:sz w:val="24"/>
          <w:szCs w:val="24"/>
          <w:lang w:val="bg"/>
        </w:rPr>
        <w:t>Linky измервателните уреди</w:t>
      </w:r>
      <w:hyperlink w:anchor="bookmark135" w:tooltip="Current Document">
        <w:r w:rsidRPr="002E2E94">
          <w:rPr>
            <w:rStyle w:val="Hyperlink"/>
            <w:rFonts w:ascii="Times New Roman" w:hAnsi="Times New Roman" w:cs="Times New Roman"/>
            <w:sz w:val="24"/>
            <w:szCs w:val="24"/>
            <w:vertAlign w:val="superscript"/>
            <w:lang w:val="bg"/>
          </w:rPr>
          <w:footnoteReference w:id="117"/>
        </w:r>
      </w:hyperlink>
      <w:r w:rsidRPr="005B33B6">
        <w:rPr>
          <w:rFonts w:ascii="Times New Roman" w:hAnsi="Times New Roman" w:cs="Times New Roman"/>
          <w:sz w:val="24"/>
          <w:szCs w:val="24"/>
          <w:lang w:val="bg"/>
        </w:rPr>
        <w:t xml:space="preserve"> са основните интелигентни измервателни уреди, инсталирани във Франция. Измервателните уреди са оборудвани с усъвършенствани комуникационни възможности, позволяващи предаване на данни в реално време между измервателния уред и Enedis. Това се улеснява от технологията за пренос на електроенергия, която използва съществуващото електрическо окабеляване за изпращане на данни към концентратори на данни и впоследствие към централна информационна система чрез телекомуникационни мрежи. Измервателните уреди предоставят подробни данни за потреблението, които дават възможност на потребителите да наблюдават и управляват по-ефективно своето потребление на енергия.</w:t>
      </w:r>
    </w:p>
    <w:p w:rsidR="007906A8" w:rsidRPr="005B33B6" w:rsidRDefault="007906A8" w:rsidP="00AE1ED0">
      <w:pPr>
        <w:spacing w:line="276" w:lineRule="auto"/>
        <w:ind w:right="-141"/>
        <w:jc w:val="both"/>
        <w:rPr>
          <w:rFonts w:ascii="Times New Roman" w:hAnsi="Times New Roman" w:cs="Times New Roman"/>
          <w:sz w:val="24"/>
          <w:szCs w:val="24"/>
          <w:lang w:val="bg"/>
        </w:rPr>
      </w:pPr>
      <w:r w:rsidRPr="005B33B6">
        <w:rPr>
          <w:rFonts w:ascii="Times New Roman" w:hAnsi="Times New Roman" w:cs="Times New Roman"/>
          <w:sz w:val="24"/>
          <w:szCs w:val="24"/>
          <w:lang w:val="bg"/>
        </w:rPr>
        <w:t>Enedis DataHub</w:t>
      </w:r>
      <w:hyperlink w:anchor="bookmark136" w:tooltip="Current Document">
        <w:r w:rsidRPr="008337BA">
          <w:rPr>
            <w:rStyle w:val="Hyperlink"/>
            <w:rFonts w:ascii="Times New Roman" w:hAnsi="Times New Roman" w:cs="Times New Roman"/>
            <w:sz w:val="24"/>
            <w:szCs w:val="24"/>
            <w:vertAlign w:val="superscript"/>
            <w:lang w:val="bg"/>
          </w:rPr>
          <w:footnoteReference w:id="118"/>
        </w:r>
      </w:hyperlink>
      <w:r w:rsidRPr="008337BA">
        <w:rPr>
          <w:rFonts w:ascii="Times New Roman" w:hAnsi="Times New Roman" w:cs="Times New Roman"/>
          <w:sz w:val="24"/>
          <w:szCs w:val="24"/>
          <w:vertAlign w:val="superscript"/>
          <w:lang w:val="bg"/>
        </w:rPr>
        <w:t xml:space="preserve"> </w:t>
      </w:r>
      <w:r w:rsidRPr="005B33B6">
        <w:rPr>
          <w:rFonts w:ascii="Times New Roman" w:hAnsi="Times New Roman" w:cs="Times New Roman"/>
          <w:sz w:val="24"/>
          <w:szCs w:val="24"/>
          <w:lang w:val="bg"/>
        </w:rPr>
        <w:t>е централната платформа за управление на данните за електроенергията от интелигентните измервателни уреди Linky във Франция. Тази система е предназначена да събира, съхранява и обработва огромни количества данни, генерирани от милионите измервателни уреди Linky, разположени в цялата страна. DataHub осигурява сигурна и ефективна обработка на данни, улеснявайки различни приложения като фактуриране, управление на енергията и оптимизация на мрежата. Данните се предават с помощта на технология за пренос на данни (PLC), която използва съществуващите електрически кабели за изпращане на информация към концентраторите на данни. Оттам данните се прехвърлят към Enedis DataHub чрез телекомуникационни мрежи като GPRS.</w:t>
      </w:r>
    </w:p>
    <w:p w:rsidR="007906A8" w:rsidRPr="00F75B07" w:rsidRDefault="007906A8" w:rsidP="00F75B07">
      <w:pPr>
        <w:tabs>
          <w:tab w:val="left" w:pos="8222"/>
        </w:tabs>
        <w:spacing w:line="276" w:lineRule="auto"/>
        <w:ind w:right="-141"/>
        <w:jc w:val="both"/>
        <w:rPr>
          <w:rFonts w:ascii="Times New Roman" w:hAnsi="Times New Roman" w:cs="Times New Roman"/>
          <w:sz w:val="24"/>
          <w:szCs w:val="24"/>
          <w:lang w:val="bg"/>
        </w:rPr>
      </w:pPr>
      <w:r w:rsidRPr="00F75B07">
        <w:rPr>
          <w:rFonts w:ascii="Times New Roman" w:hAnsi="Times New Roman" w:cs="Times New Roman"/>
          <w:sz w:val="24"/>
          <w:szCs w:val="24"/>
          <w:lang w:val="bg"/>
        </w:rPr>
        <w:t>След като данните достигнат Enedis DataHub, те се съхраняват и обработват по сигурен начин. DataHub използва усъвършенствани системи за управление на данни, за да обработва големи обеми от данни, като гарантира, че те са достъпни за различни цели. Платформата поддържа както анализ на данни в реално време, така и на данни за минали периоди, като предоставя ценна информация за моделите на потребление на енергия.</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Enedis предлага няколко услуги чрез DataHub за улесняване на достъпа до данни за различни заинтересовани страни:</w:t>
      </w:r>
    </w:p>
    <w:p w:rsidR="00F75B07" w:rsidRDefault="007906A8" w:rsidP="00B01311">
      <w:pPr>
        <w:pStyle w:val="ListParagraph"/>
        <w:numPr>
          <w:ilvl w:val="0"/>
          <w:numId w:val="160"/>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t>Връзка за данни:</w:t>
      </w:r>
      <w:r w:rsidRPr="00F75B07">
        <w:rPr>
          <w:rFonts w:ascii="Times New Roman" w:hAnsi="Times New Roman" w:cs="Times New Roman"/>
          <w:sz w:val="24"/>
          <w:szCs w:val="24"/>
          <w:lang w:val="bg"/>
        </w:rPr>
        <w:t xml:space="preserve"> Тази платформа за API позволява на доставчици на услуги от трети страни да имат достъп до данните за потреблението от измервателните уреди на Linky със съгласието на потребителите. Тя дава възможност за разработване на иновативни решения и ус</w:t>
      </w:r>
      <w:r w:rsidR="00F75B07">
        <w:rPr>
          <w:rFonts w:ascii="Times New Roman" w:hAnsi="Times New Roman" w:cs="Times New Roman"/>
          <w:sz w:val="24"/>
          <w:szCs w:val="24"/>
          <w:lang w:val="bg"/>
        </w:rPr>
        <w:t>луги за управление на енергията.</w:t>
      </w:r>
    </w:p>
    <w:p w:rsidR="00F75B07" w:rsidRDefault="00F75B07" w:rsidP="00F75B07">
      <w:pPr>
        <w:pStyle w:val="ListParagraph"/>
        <w:spacing w:line="276" w:lineRule="auto"/>
        <w:jc w:val="both"/>
        <w:rPr>
          <w:rFonts w:ascii="Times New Roman" w:hAnsi="Times New Roman" w:cs="Times New Roman"/>
          <w:sz w:val="24"/>
          <w:szCs w:val="24"/>
          <w:lang w:val="bg"/>
        </w:rPr>
      </w:pPr>
    </w:p>
    <w:p w:rsidR="00F75B07" w:rsidRDefault="007906A8" w:rsidP="00B01311">
      <w:pPr>
        <w:pStyle w:val="ListParagraph"/>
        <w:numPr>
          <w:ilvl w:val="0"/>
          <w:numId w:val="160"/>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t>SGE (Système de Gestion des Échanges):</w:t>
      </w:r>
      <w:r w:rsidRPr="00F75B07">
        <w:rPr>
          <w:rFonts w:ascii="Times New Roman" w:hAnsi="Times New Roman" w:cs="Times New Roman"/>
          <w:sz w:val="24"/>
          <w:szCs w:val="24"/>
          <w:lang w:val="bg"/>
        </w:rPr>
        <w:t xml:space="preserve"> Тази платформа предоставя достъп до технически данни и измервания на потреблението за жилищни, търговски и промишлени клиенти. Изисква се предварително разрешение и инсталиране на специфичен софтуер, предоставен от Enedis.</w:t>
      </w:r>
    </w:p>
    <w:p w:rsidR="00F75B07" w:rsidRPr="00F75B07" w:rsidRDefault="00F75B07" w:rsidP="00F75B07">
      <w:pPr>
        <w:pStyle w:val="ListParagraph"/>
        <w:rPr>
          <w:rFonts w:ascii="Times New Roman" w:hAnsi="Times New Roman" w:cs="Times New Roman"/>
          <w:b/>
          <w:bCs/>
          <w:sz w:val="24"/>
          <w:szCs w:val="24"/>
          <w:lang w:val="bg"/>
        </w:rPr>
      </w:pPr>
    </w:p>
    <w:p w:rsidR="007906A8" w:rsidRPr="00F75B07" w:rsidRDefault="007906A8" w:rsidP="00B01311">
      <w:pPr>
        <w:pStyle w:val="ListParagraph"/>
        <w:numPr>
          <w:ilvl w:val="0"/>
          <w:numId w:val="160"/>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lastRenderedPageBreak/>
        <w:t>Свободно достъпни данни:</w:t>
      </w:r>
      <w:r w:rsidRPr="00F75B07">
        <w:rPr>
          <w:rFonts w:ascii="Times New Roman" w:hAnsi="Times New Roman" w:cs="Times New Roman"/>
          <w:sz w:val="24"/>
          <w:szCs w:val="24"/>
          <w:lang w:val="bg"/>
        </w:rPr>
        <w:t xml:space="preserve"> Enedis също така предлага услуги за свободно достъпни данни, като предоставя достъп до обобщени и анонимизирани статистически данни за електроенергията за обществено ползване. Тези данни могат да бъдат визуализирани, изтеглени и търсени чрез API.</w:t>
      </w:r>
    </w:p>
    <w:p w:rsidR="007906A8" w:rsidRPr="00F75B07" w:rsidRDefault="007906A8" w:rsidP="00F75B07">
      <w:pPr>
        <w:spacing w:line="276" w:lineRule="auto"/>
        <w:ind w:right="-141"/>
        <w:rPr>
          <w:rFonts w:ascii="Times New Roman" w:hAnsi="Times New Roman" w:cs="Times New Roman"/>
          <w:sz w:val="24"/>
          <w:szCs w:val="24"/>
          <w:lang w:val="bg"/>
        </w:rPr>
      </w:pPr>
      <w:r w:rsidRPr="00F75B07">
        <w:rPr>
          <w:rFonts w:ascii="Times New Roman" w:hAnsi="Times New Roman" w:cs="Times New Roman"/>
          <w:sz w:val="24"/>
          <w:szCs w:val="24"/>
          <w:lang w:val="bg"/>
        </w:rPr>
        <w:t>Enedis се придържа към строги разпоредби за защита на данните на потребителите. Данните са анонимизирани и криптирани, за да се предотврати неоторизиран достъп. Потребителите имат контрол върху своите данни, а достъпът на тр</w:t>
      </w:r>
      <w:r w:rsidR="00F75B07">
        <w:rPr>
          <w:rFonts w:ascii="Times New Roman" w:hAnsi="Times New Roman" w:cs="Times New Roman"/>
          <w:sz w:val="24"/>
          <w:szCs w:val="24"/>
          <w:lang w:val="bg"/>
        </w:rPr>
        <w:t xml:space="preserve">ети страни се предоставя само с </w:t>
      </w:r>
      <w:r w:rsidRPr="00F75B07">
        <w:rPr>
          <w:rFonts w:ascii="Times New Roman" w:hAnsi="Times New Roman" w:cs="Times New Roman"/>
          <w:sz w:val="24"/>
          <w:szCs w:val="24"/>
          <w:lang w:val="bg"/>
        </w:rPr>
        <w:t>изричното съгласие на ползвателите на мрежата. DataHub гарантира спазването на законите за защита на данните, включително Общия регламент относно защитата на данните (ОРЗД).</w:t>
      </w:r>
    </w:p>
    <w:p w:rsidR="007906A8" w:rsidRPr="00F75B07" w:rsidRDefault="007906A8" w:rsidP="00F75B07">
      <w:pPr>
        <w:spacing w:line="276" w:lineRule="auto"/>
        <w:ind w:right="-141"/>
        <w:jc w:val="both"/>
        <w:rPr>
          <w:rFonts w:ascii="Times New Roman" w:hAnsi="Times New Roman" w:cs="Times New Roman"/>
          <w:sz w:val="24"/>
          <w:szCs w:val="24"/>
          <w:lang w:val="bg"/>
        </w:rPr>
      </w:pPr>
      <w:r w:rsidRPr="00F75B07">
        <w:rPr>
          <w:rFonts w:ascii="Times New Roman" w:hAnsi="Times New Roman" w:cs="Times New Roman"/>
          <w:sz w:val="24"/>
          <w:szCs w:val="24"/>
          <w:lang w:val="bg"/>
        </w:rPr>
        <w:t>Eliq,</w:t>
      </w:r>
      <w:hyperlink w:anchor="bookmark137" w:tooltip="Current Document">
        <w:r w:rsidRPr="002E2E94">
          <w:rPr>
            <w:rStyle w:val="Hyperlink"/>
            <w:rFonts w:ascii="Times New Roman" w:hAnsi="Times New Roman" w:cs="Times New Roman"/>
            <w:sz w:val="24"/>
            <w:szCs w:val="24"/>
            <w:vertAlign w:val="superscript"/>
            <w:lang w:val="bg"/>
          </w:rPr>
          <w:footnoteReference w:id="119"/>
        </w:r>
      </w:hyperlink>
      <w:r w:rsidRPr="00F75B07">
        <w:rPr>
          <w:rFonts w:ascii="Times New Roman" w:hAnsi="Times New Roman" w:cs="Times New Roman"/>
          <w:sz w:val="24"/>
          <w:szCs w:val="24"/>
          <w:lang w:val="bg"/>
        </w:rPr>
        <w:t xml:space="preserve"> компания, специализирана в енергийните прозрения и ангажираността на клиентите, е интегрирала своята платформа с Enedis за директно събиране на данни от измервателните уреди на Linky. Тази интеграция позволява на комуналните услуги да предоставят на потребителите инструменти като мобилни приложения за мониторинг и управление на енергията в реално време.</w:t>
      </w:r>
    </w:p>
    <w:p w:rsidR="007906A8" w:rsidRDefault="007906A8" w:rsidP="00F75B07">
      <w:pPr>
        <w:spacing w:line="276" w:lineRule="auto"/>
        <w:ind w:right="-141"/>
        <w:jc w:val="both"/>
        <w:rPr>
          <w:rFonts w:ascii="Times New Roman" w:hAnsi="Times New Roman" w:cs="Times New Roman"/>
          <w:sz w:val="24"/>
          <w:szCs w:val="24"/>
          <w:lang w:val="bg"/>
        </w:rPr>
      </w:pPr>
      <w:r w:rsidRPr="00F75B07">
        <w:rPr>
          <w:rFonts w:ascii="Times New Roman" w:hAnsi="Times New Roman" w:cs="Times New Roman"/>
          <w:sz w:val="24"/>
          <w:szCs w:val="24"/>
          <w:lang w:val="bg"/>
        </w:rPr>
        <w:t>Тези платформи заедно повишават ефективността и надеждността на управлението на енергията във Франция, като подкрепят целите на страната за устойчивост и интелигентна инфраструктура.</w:t>
      </w:r>
    </w:p>
    <w:p w:rsidR="00F75B07" w:rsidRPr="00F75B07" w:rsidRDefault="00F75B07" w:rsidP="00F75B07">
      <w:pPr>
        <w:spacing w:line="276" w:lineRule="auto"/>
        <w:ind w:right="-141"/>
        <w:jc w:val="both"/>
        <w:rPr>
          <w:rFonts w:ascii="Times New Roman" w:hAnsi="Times New Roman" w:cs="Times New Roman"/>
          <w:sz w:val="24"/>
          <w:szCs w:val="24"/>
          <w:lang w:val="bg"/>
        </w:rPr>
      </w:pPr>
    </w:p>
    <w:p w:rsidR="007906A8" w:rsidRPr="00AE1ED0" w:rsidRDefault="00F86089" w:rsidP="00B01311">
      <w:pPr>
        <w:pStyle w:val="ListParagraph"/>
        <w:numPr>
          <w:ilvl w:val="2"/>
          <w:numId w:val="187"/>
        </w:numPr>
        <w:spacing w:line="276" w:lineRule="auto"/>
        <w:ind w:right="1185"/>
        <w:jc w:val="both"/>
        <w:rPr>
          <w:rFonts w:ascii="Times New Roman" w:hAnsi="Times New Roman" w:cs="Times New Roman"/>
          <w:color w:val="24B1C0"/>
          <w:sz w:val="28"/>
          <w:szCs w:val="28"/>
          <w:lang w:val="bg"/>
        </w:rPr>
      </w:pPr>
      <w:bookmarkStart w:id="403" w:name="bookmark519"/>
      <w:bookmarkStart w:id="404" w:name="bookmark518"/>
      <w:r w:rsidRPr="00AE1ED0">
        <w:rPr>
          <w:rFonts w:ascii="Times New Roman" w:hAnsi="Times New Roman" w:cs="Times New Roman"/>
          <w:color w:val="24B1C0"/>
          <w:sz w:val="28"/>
          <w:szCs w:val="28"/>
          <w:lang w:val="bg"/>
        </w:rPr>
        <w:t xml:space="preserve"> </w:t>
      </w:r>
      <w:r w:rsidR="007906A8" w:rsidRPr="00AE1ED0">
        <w:rPr>
          <w:rFonts w:ascii="Times New Roman" w:hAnsi="Times New Roman" w:cs="Times New Roman"/>
          <w:color w:val="24B1C0"/>
          <w:sz w:val="28"/>
          <w:szCs w:val="28"/>
          <w:lang w:val="bg"/>
        </w:rPr>
        <w:t>Колективно собствено потребление</w:t>
      </w:r>
      <w:bookmarkEnd w:id="403"/>
      <w:bookmarkEnd w:id="404"/>
    </w:p>
    <w:p w:rsidR="00F75B07" w:rsidRPr="00F75B07" w:rsidRDefault="00F75B07" w:rsidP="00F75B07">
      <w:pPr>
        <w:spacing w:line="276" w:lineRule="auto"/>
        <w:ind w:left="1276" w:right="1185"/>
        <w:jc w:val="both"/>
        <w:rPr>
          <w:rFonts w:ascii="Times New Roman" w:hAnsi="Times New Roman" w:cs="Times New Roman"/>
          <w:color w:val="24B1C0"/>
          <w:sz w:val="28"/>
          <w:szCs w:val="28"/>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Колективното потребление на собствена електроенергия във Франция е система, която позволява споделянето на произведената на местно равнище електроенергия между производителите и потребителите, свързани към обществената разпределителна мрежа в рамките на един и същ географски район. Този модел насърчава производството и потреблението на енергия от възобновяеми източници с цел повишаване на енергийната ефективност и устойчивост. Концепцията придоби популярност поради нарастващите социални очаквания за по-екологосъобразни енергийни решения и проактивните политики в подкрепа на екологичния преход.</w:t>
      </w:r>
      <w:hyperlink w:anchor="bookmark138" w:tooltip="Current Document">
        <w:r w:rsidRPr="002E2E94">
          <w:rPr>
            <w:rStyle w:val="Hyperlink"/>
            <w:rFonts w:ascii="Times New Roman" w:hAnsi="Times New Roman" w:cs="Times New Roman"/>
            <w:sz w:val="24"/>
            <w:szCs w:val="24"/>
            <w:vertAlign w:val="superscript"/>
            <w:lang w:val="bg"/>
          </w:rPr>
          <w:footnoteReference w:id="120"/>
        </w:r>
      </w:hyperlink>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 xml:space="preserve">Правната рамка за колективно потребление на собствена електроенергия във Франция се е развила значително от нейното създаване. Първите споменавания на колективното потребление на собствена електроенергия се появиха в Закона за екологичния преход от 17 август 2015 г., който положи основите за последващи разпоредби. Ключовите законодателни етапи включват постановлението от 28 април 2017 г., с което беше изменен енергийният кодекс, за да се отчете колективното потребление на собствена електроенергия, и наредбата от 27 юли 2016 г., която предостави подробно определение за колективно потребление на собствена електроенергия във френския енергиен кодекс. Критериите за географска близост бяха разширени през октомври 2020 г., което позволи на участниците в селските райони да бъдат на разстояние до 20 km един от друг. През март </w:t>
      </w:r>
      <w:r w:rsidRPr="00F75B07">
        <w:rPr>
          <w:rFonts w:ascii="Times New Roman" w:hAnsi="Times New Roman" w:cs="Times New Roman"/>
          <w:sz w:val="24"/>
          <w:szCs w:val="24"/>
          <w:lang w:val="bg"/>
        </w:rPr>
        <w:lastRenderedPageBreak/>
        <w:t>2023 г. френското правителство прие Закон No 2023-175 за ускоряване на производството на енергия от възобновяеми източници (Закон APER), който внесе повече яснота в правните разпоредби, уреждащи присъединяването към електроенергийната мрежа, и даде възможност за по-добро планиране и по-голяма гъвкавост при тяхното изграждане.</w:t>
      </w:r>
      <w:hyperlink w:anchor="bookmark139" w:tooltip="Current Document">
        <w:r w:rsidRPr="002E2E94">
          <w:rPr>
            <w:rStyle w:val="Hyperlink"/>
            <w:rFonts w:ascii="Times New Roman" w:hAnsi="Times New Roman" w:cs="Times New Roman"/>
            <w:sz w:val="24"/>
            <w:szCs w:val="24"/>
            <w:vertAlign w:val="superscript"/>
            <w:lang w:val="bg"/>
          </w:rPr>
          <w:footnoteReference w:id="121"/>
        </w:r>
      </w:hyperlink>
      <w:r w:rsidRPr="00F75B07">
        <w:rPr>
          <w:rFonts w:ascii="Times New Roman" w:hAnsi="Times New Roman" w:cs="Times New Roman"/>
          <w:sz w:val="24"/>
          <w:szCs w:val="24"/>
          <w:lang w:val="bg"/>
        </w:rPr>
        <w:t xml:space="preserve"> Тези регламенти имат за цел да стимулират развитието на колективното потребление на собствена електроенергия чрез осигуряване на ясна правна структура и механизми за подкрепа.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Участниците в проект за колективно потребление на собствена електроенергия трябва да образуват юридическо лице (LE), което може да бъде съсобственост, сдружение, кооперация или други организационни форми</w:t>
      </w:r>
      <w:hyperlink w:anchor="bookmark140" w:tooltip="Current Document">
        <w:r w:rsidRPr="002E2E94">
          <w:rPr>
            <w:rStyle w:val="Hyperlink"/>
            <w:rFonts w:ascii="Times New Roman" w:hAnsi="Times New Roman" w:cs="Times New Roman"/>
            <w:sz w:val="24"/>
            <w:szCs w:val="24"/>
            <w:vertAlign w:val="superscript"/>
            <w:lang w:val="bg"/>
          </w:rPr>
          <w:footnoteReference w:id="122"/>
        </w:r>
      </w:hyperlink>
      <w:r w:rsidRPr="002E2E94">
        <w:rPr>
          <w:rFonts w:ascii="Times New Roman" w:hAnsi="Times New Roman" w:cs="Times New Roman"/>
          <w:sz w:val="24"/>
          <w:szCs w:val="24"/>
          <w:vertAlign w:val="superscript"/>
          <w:lang w:val="bg"/>
        </w:rPr>
        <w:t>.</w:t>
      </w:r>
      <w:r w:rsidRPr="00F75B07">
        <w:rPr>
          <w:rFonts w:ascii="Times New Roman" w:hAnsi="Times New Roman" w:cs="Times New Roman"/>
          <w:sz w:val="24"/>
          <w:szCs w:val="24"/>
          <w:lang w:val="bg"/>
        </w:rPr>
        <w:t xml:space="preserve"> Този субект отговаря за управлението на операцията и за сключването на споразумения с оператора на обществената разпределителна мрежа, обикновено Enedis. ГЕ трябва да подпише колективен договор за собствено потребление с Enedis, в който се очертава разпределението на производството на електроенергия между потребителите, което може да бъде статично или динамично. Освен това енергийните общности с мощност до 1 MW са освободени от определени данъци, като по този начин се предоставят финансови стимули за по-малки проекти.</w:t>
      </w:r>
      <w:hyperlink w:anchor="bookmark141" w:tooltip="Current Document">
        <w:r w:rsidRPr="002E2E94">
          <w:rPr>
            <w:rStyle w:val="Hyperlink"/>
            <w:rFonts w:ascii="Times New Roman" w:hAnsi="Times New Roman" w:cs="Times New Roman"/>
            <w:sz w:val="24"/>
            <w:szCs w:val="24"/>
            <w:vertAlign w:val="superscript"/>
            <w:lang w:val="bg"/>
          </w:rPr>
          <w:footnoteReference w:id="123"/>
        </w:r>
      </w:hyperlink>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ГЕ управлява операцията и гарантира, че информацията за споделянето на потреблението на електроенергия се предава на оператора на разпределителната система. Участниците определят правилата за поделяне на произведената електроенергия, което позволява на всеки потребител да се възползва от дела на местното производство, който му е разпределен. Само доставката на допълнителна енергия за покриване на техните нужди се фактурира от техния доставчик на електроенергия. Тази система не изисква специфично оборудване за потребителите, които остават свързани към обществената разпределителна мрежа.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Колективното собствено потребление насърчава местното производство и потребление на енергия от възобновяеми източници, като намалява зависимостта от централизирани енергийни източници. Този модел подкрепя интегрирането на енергията от възобновяеми източници в мрежата, като повишава енергийната ефективност и устойчивостта. Чрез насърчаване на местното производство на енергия колективното собствено потребление спомага за стабилизиране на цените на енергията в дългосрочен план и подобрява енергийната независимост.</w:t>
      </w:r>
    </w:p>
    <w:p w:rsidR="007906A8"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Участниците в колективни проекти за собствено потребление се възползват от по-ниски разходи за енергия и освобождаване от определени данъци. Те придобиват представа за своите модели на потребление на енергия, като насърчават поведение за пестене на енергия и намаляват общото потребление. Освен това този модел подкрепя целите на Франция за устойчива енергия и намалява въглеродния отпечатък.</w:t>
      </w:r>
    </w:p>
    <w:p w:rsidR="00AE1ED0" w:rsidRDefault="00AE1ED0" w:rsidP="00F75B07">
      <w:pPr>
        <w:spacing w:line="276" w:lineRule="auto"/>
        <w:jc w:val="both"/>
        <w:rPr>
          <w:rFonts w:ascii="Times New Roman" w:hAnsi="Times New Roman" w:cs="Times New Roman"/>
          <w:sz w:val="24"/>
          <w:szCs w:val="24"/>
          <w:lang w:val="bg"/>
        </w:rPr>
      </w:pPr>
    </w:p>
    <w:p w:rsidR="00A9462C" w:rsidRDefault="00A9462C" w:rsidP="00F75B07">
      <w:pPr>
        <w:spacing w:line="276" w:lineRule="auto"/>
        <w:jc w:val="both"/>
        <w:rPr>
          <w:rFonts w:ascii="Times New Roman" w:hAnsi="Times New Roman" w:cs="Times New Roman"/>
          <w:sz w:val="24"/>
          <w:szCs w:val="24"/>
          <w:lang w:val="bg"/>
        </w:rPr>
      </w:pPr>
    </w:p>
    <w:p w:rsidR="00A9462C" w:rsidRDefault="00A9462C" w:rsidP="00F75B07">
      <w:pPr>
        <w:spacing w:line="276" w:lineRule="auto"/>
        <w:jc w:val="both"/>
        <w:rPr>
          <w:rFonts w:ascii="Times New Roman" w:hAnsi="Times New Roman" w:cs="Times New Roman"/>
          <w:sz w:val="24"/>
          <w:szCs w:val="24"/>
          <w:lang w:val="bg"/>
        </w:rPr>
      </w:pPr>
    </w:p>
    <w:p w:rsidR="00A9462C" w:rsidRPr="00F75B07" w:rsidRDefault="00A9462C" w:rsidP="00F75B07">
      <w:pPr>
        <w:spacing w:line="276" w:lineRule="auto"/>
        <w:jc w:val="both"/>
        <w:rPr>
          <w:rFonts w:ascii="Times New Roman" w:hAnsi="Times New Roman" w:cs="Times New Roman"/>
          <w:sz w:val="24"/>
          <w:szCs w:val="24"/>
          <w:lang w:val="bg"/>
        </w:rPr>
      </w:pPr>
    </w:p>
    <w:p w:rsidR="007906A8" w:rsidRDefault="007906A8" w:rsidP="00B01311">
      <w:pPr>
        <w:pStyle w:val="Heading2"/>
        <w:numPr>
          <w:ilvl w:val="1"/>
          <w:numId w:val="187"/>
        </w:numPr>
        <w:rPr>
          <w:rFonts w:ascii="Times New Roman" w:hAnsi="Times New Roman" w:cs="Times New Roman"/>
          <w:color w:val="24B1C0"/>
          <w:sz w:val="30"/>
          <w:szCs w:val="30"/>
          <w:lang w:val="bg"/>
        </w:rPr>
      </w:pPr>
      <w:bookmarkStart w:id="408" w:name="bookmark522"/>
      <w:bookmarkStart w:id="409" w:name="bookmark521"/>
      <w:bookmarkStart w:id="410" w:name="_Toc203141336"/>
      <w:r w:rsidRPr="00F75B07">
        <w:rPr>
          <w:rFonts w:ascii="Times New Roman" w:hAnsi="Times New Roman" w:cs="Times New Roman"/>
          <w:color w:val="24B1C0"/>
          <w:sz w:val="30"/>
          <w:szCs w:val="30"/>
          <w:lang w:val="bg"/>
        </w:rPr>
        <w:t>Германия</w:t>
      </w:r>
      <w:bookmarkEnd w:id="408"/>
      <w:bookmarkEnd w:id="409"/>
      <w:bookmarkEnd w:id="410"/>
    </w:p>
    <w:p w:rsidR="00F75B07" w:rsidRPr="00F75B07" w:rsidRDefault="00F75B07" w:rsidP="00F75B07">
      <w:pPr>
        <w:pStyle w:val="ListParagraph"/>
        <w:rPr>
          <w:lang w:val="bg"/>
        </w:rPr>
      </w:pPr>
    </w:p>
    <w:p w:rsidR="007906A8" w:rsidRDefault="007906A8" w:rsidP="00B01311">
      <w:pPr>
        <w:pStyle w:val="Heading3"/>
        <w:numPr>
          <w:ilvl w:val="2"/>
          <w:numId w:val="188"/>
        </w:numPr>
        <w:spacing w:line="276" w:lineRule="auto"/>
        <w:jc w:val="both"/>
        <w:rPr>
          <w:rStyle w:val="Hyperlink"/>
          <w:rFonts w:ascii="Times New Roman" w:hAnsi="Times New Roman" w:cs="Times New Roman"/>
          <w:color w:val="24B1C0"/>
          <w:sz w:val="28"/>
          <w:szCs w:val="28"/>
          <w:lang w:val="bg"/>
        </w:rPr>
      </w:pPr>
      <w:bookmarkStart w:id="411" w:name="_Toc203141337"/>
      <w:r w:rsidRPr="00F75B07">
        <w:rPr>
          <w:rFonts w:ascii="Times New Roman" w:hAnsi="Times New Roman" w:cs="Times New Roman"/>
          <w:color w:val="24B1C0"/>
          <w:sz w:val="28"/>
          <w:szCs w:val="28"/>
          <w:lang w:val="bg"/>
        </w:rPr>
        <w:t>Правна рамка Германия</w:t>
      </w:r>
      <w:hyperlink w:anchor="bookmark142" w:tooltip="Current Document">
        <w:r w:rsidRPr="00F75B07">
          <w:rPr>
            <w:rStyle w:val="Hyperlink"/>
            <w:rFonts w:ascii="Times New Roman" w:hAnsi="Times New Roman" w:cs="Times New Roman"/>
            <w:color w:val="24B1C0"/>
            <w:sz w:val="28"/>
            <w:szCs w:val="28"/>
            <w:lang w:val="bg"/>
          </w:rPr>
          <w:footnoteReference w:id="124"/>
        </w:r>
        <w:bookmarkEnd w:id="411"/>
      </w:hyperlink>
    </w:p>
    <w:p w:rsidR="00F75B07" w:rsidRPr="00F75B07" w:rsidRDefault="00F75B07" w:rsidP="00F75B07">
      <w:pPr>
        <w:pStyle w:val="ListParagraph"/>
        <w:rPr>
          <w:lang w:val="bg"/>
        </w:rPr>
      </w:pPr>
    </w:p>
    <w:p w:rsidR="007906A8" w:rsidRPr="002E2E94" w:rsidRDefault="007906A8" w:rsidP="00F75B07">
      <w:pPr>
        <w:spacing w:line="276" w:lineRule="auto"/>
        <w:jc w:val="both"/>
        <w:rPr>
          <w:rFonts w:ascii="Times New Roman" w:hAnsi="Times New Roman" w:cs="Times New Roman"/>
          <w:sz w:val="24"/>
          <w:szCs w:val="24"/>
          <w:vertAlign w:val="superscript"/>
          <w:lang w:val="bg"/>
        </w:rPr>
      </w:pPr>
      <w:r w:rsidRPr="00F75B07">
        <w:rPr>
          <w:rFonts w:ascii="Times New Roman" w:hAnsi="Times New Roman" w:cs="Times New Roman"/>
          <w:sz w:val="24"/>
          <w:szCs w:val="24"/>
          <w:lang w:val="bg"/>
        </w:rPr>
        <w:t>Германия разполага с всеобхватна правна рамка за енергийните общности, определена предимно от Закона за възобновяемите енергийни източници (EEG) и Закона за енергийната промишленост (EnWG). EEG осигурява основата за насърчаване на възобновяемата енергия в Германия. Той включва специални разпоредби за енергийните общности, известни като Bürgerenergiegesellschaften (граждански енергийни дружества):</w:t>
      </w:r>
      <w:hyperlink w:anchor="bookmark143" w:tooltip="Current Document">
        <w:r w:rsidRPr="002E2E94">
          <w:rPr>
            <w:rStyle w:val="Hyperlink"/>
            <w:rFonts w:ascii="Times New Roman" w:hAnsi="Times New Roman" w:cs="Times New Roman"/>
            <w:sz w:val="24"/>
            <w:szCs w:val="24"/>
            <w:vertAlign w:val="superscript"/>
            <w:lang w:val="bg"/>
          </w:rPr>
          <w:footnoteReference w:id="125"/>
        </w:r>
      </w:hyperlink>
    </w:p>
    <w:p w:rsidR="00A735FC" w:rsidRDefault="007906A8" w:rsidP="00B01311">
      <w:pPr>
        <w:pStyle w:val="ListParagraph"/>
        <w:numPr>
          <w:ilvl w:val="0"/>
          <w:numId w:val="161"/>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t>Опростени тръжни процедури:</w:t>
      </w:r>
      <w:r w:rsidRPr="00F75B07">
        <w:rPr>
          <w:rFonts w:ascii="Times New Roman" w:hAnsi="Times New Roman" w:cs="Times New Roman"/>
          <w:sz w:val="24"/>
          <w:szCs w:val="24"/>
          <w:lang w:val="bg"/>
        </w:rPr>
        <w:t xml:space="preserve"> Енергийните общности се ползват от опростени тръжни процедури за проекти за вятърна енергия от разположени на сушата инсталации. Те могат да участват в търгове с до шест вятърни турбини с обща мощност, ненадвишаваща 18 MW.</w:t>
      </w:r>
    </w:p>
    <w:p w:rsidR="00A735FC" w:rsidRDefault="007906A8" w:rsidP="00B01311">
      <w:pPr>
        <w:pStyle w:val="ListParagraph"/>
        <w:numPr>
          <w:ilvl w:val="0"/>
          <w:numId w:val="161"/>
        </w:numPr>
        <w:spacing w:line="276" w:lineRule="auto"/>
        <w:jc w:val="both"/>
        <w:rPr>
          <w:rFonts w:ascii="Times New Roman" w:hAnsi="Times New Roman" w:cs="Times New Roman"/>
          <w:sz w:val="24"/>
          <w:szCs w:val="24"/>
          <w:lang w:val="bg"/>
        </w:rPr>
      </w:pPr>
      <w:r w:rsidRPr="00A735FC">
        <w:rPr>
          <w:rFonts w:ascii="Times New Roman" w:hAnsi="Times New Roman" w:cs="Times New Roman"/>
          <w:b/>
          <w:bCs/>
          <w:sz w:val="24"/>
          <w:szCs w:val="24"/>
          <w:lang w:val="bg"/>
        </w:rPr>
        <w:t>Пазарни премии:</w:t>
      </w:r>
      <w:r w:rsidRPr="00A735FC">
        <w:rPr>
          <w:rFonts w:ascii="Times New Roman" w:hAnsi="Times New Roman" w:cs="Times New Roman"/>
          <w:sz w:val="24"/>
          <w:szCs w:val="24"/>
          <w:lang w:val="bg"/>
        </w:rPr>
        <w:t xml:space="preserve"> Енергийните общности могат да получат по-високи пазарни премии за своите проекти. Премията се определя от най-високата оферта, която все още е приета в търга.</w:t>
      </w:r>
    </w:p>
    <w:p w:rsidR="007906A8" w:rsidRPr="00A735FC" w:rsidRDefault="007906A8" w:rsidP="00B01311">
      <w:pPr>
        <w:pStyle w:val="ListParagraph"/>
        <w:numPr>
          <w:ilvl w:val="0"/>
          <w:numId w:val="161"/>
        </w:numPr>
        <w:spacing w:line="276" w:lineRule="auto"/>
        <w:jc w:val="both"/>
        <w:rPr>
          <w:rFonts w:ascii="Times New Roman" w:hAnsi="Times New Roman" w:cs="Times New Roman"/>
          <w:sz w:val="24"/>
          <w:szCs w:val="24"/>
          <w:lang w:val="bg"/>
        </w:rPr>
      </w:pPr>
      <w:r w:rsidRPr="00A735FC">
        <w:rPr>
          <w:rFonts w:ascii="Times New Roman" w:hAnsi="Times New Roman" w:cs="Times New Roman"/>
          <w:b/>
          <w:bCs/>
          <w:sz w:val="24"/>
          <w:szCs w:val="24"/>
          <w:lang w:val="bg"/>
        </w:rPr>
        <w:t>Местно участие:</w:t>
      </w:r>
      <w:r w:rsidRPr="00A735FC">
        <w:rPr>
          <w:rFonts w:ascii="Times New Roman" w:hAnsi="Times New Roman" w:cs="Times New Roman"/>
          <w:sz w:val="24"/>
          <w:szCs w:val="24"/>
          <w:lang w:val="bg"/>
        </w:rPr>
        <w:t xml:space="preserve"> Най-малко 51 % от правата на глас в дадена енергийна общност трябва да се притежават от местни жители. Никой член не може да притежава повече от 10% от акциите.</w:t>
      </w:r>
    </w:p>
    <w:p w:rsid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EnWG осигурява регулаторната рамка за пазара на електроенергия в Германия. Той включва разпоредби за интегрирането на енергийните общности в енергийния пазар:</w:t>
      </w:r>
      <w:hyperlink w:anchor="bookmark144" w:tooltip="Current Document">
        <w:r w:rsidRPr="002E2E94">
          <w:rPr>
            <w:rStyle w:val="Hyperlink"/>
            <w:rFonts w:ascii="Times New Roman" w:hAnsi="Times New Roman" w:cs="Times New Roman"/>
            <w:sz w:val="24"/>
            <w:szCs w:val="24"/>
            <w:vertAlign w:val="superscript"/>
            <w:lang w:val="bg"/>
          </w:rPr>
          <w:footnoteReference w:id="126"/>
        </w:r>
      </w:hyperlink>
    </w:p>
    <w:p w:rsidR="00A735FC" w:rsidRDefault="007906A8" w:rsidP="00B01311">
      <w:pPr>
        <w:pStyle w:val="ListParagraph"/>
        <w:numPr>
          <w:ilvl w:val="0"/>
          <w:numId w:val="162"/>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t>Достъп до мрежата:</w:t>
      </w:r>
      <w:r w:rsidRPr="00F75B07">
        <w:rPr>
          <w:rFonts w:ascii="Times New Roman" w:hAnsi="Times New Roman" w:cs="Times New Roman"/>
          <w:sz w:val="24"/>
          <w:szCs w:val="24"/>
          <w:lang w:val="bg"/>
        </w:rPr>
        <w:t xml:space="preserve"> Енергийните общности имат право на недискриминационен достъп до електроенергийната мрежа. Това гарантира, че те могат да свържат своите проекти за енергия от възобновяеми източници към мрежата и да участват в енергийния пазар.</w:t>
      </w:r>
    </w:p>
    <w:p w:rsidR="007906A8" w:rsidRPr="00A735FC" w:rsidRDefault="007906A8" w:rsidP="00B01311">
      <w:pPr>
        <w:pStyle w:val="ListParagraph"/>
        <w:numPr>
          <w:ilvl w:val="0"/>
          <w:numId w:val="162"/>
        </w:numPr>
        <w:spacing w:line="276" w:lineRule="auto"/>
        <w:jc w:val="both"/>
        <w:rPr>
          <w:rFonts w:ascii="Times New Roman" w:hAnsi="Times New Roman" w:cs="Times New Roman"/>
          <w:sz w:val="24"/>
          <w:szCs w:val="24"/>
          <w:lang w:val="bg"/>
        </w:rPr>
      </w:pPr>
      <w:r w:rsidRPr="00A735FC">
        <w:rPr>
          <w:rFonts w:ascii="Times New Roman" w:hAnsi="Times New Roman" w:cs="Times New Roman"/>
          <w:b/>
          <w:bCs/>
          <w:sz w:val="24"/>
          <w:szCs w:val="24"/>
          <w:lang w:val="bg"/>
        </w:rPr>
        <w:t>Споделяне на енергия:</w:t>
      </w:r>
      <w:r w:rsidRPr="00A735FC">
        <w:rPr>
          <w:rFonts w:ascii="Times New Roman" w:hAnsi="Times New Roman" w:cs="Times New Roman"/>
          <w:sz w:val="24"/>
          <w:szCs w:val="24"/>
          <w:lang w:val="bg"/>
        </w:rPr>
        <w:t xml:space="preserve"> EnWG позволява на енергийните общности да споделят произведената от тях електроенергия между своите членове. Това насърчава местното потребление на енергия от възобновяеми източници.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Германия също така има специфични разпоредби за кооперациите, които са обща правна форма за енергийните общности:</w:t>
      </w:r>
    </w:p>
    <w:p w:rsidR="007906A8" w:rsidRPr="00F75B07" w:rsidRDefault="007906A8" w:rsidP="00B01311">
      <w:pPr>
        <w:pStyle w:val="ListParagraph"/>
        <w:numPr>
          <w:ilvl w:val="0"/>
          <w:numId w:val="163"/>
        </w:numPr>
        <w:spacing w:line="276" w:lineRule="auto"/>
        <w:jc w:val="both"/>
        <w:rPr>
          <w:rFonts w:ascii="Times New Roman" w:hAnsi="Times New Roman" w:cs="Times New Roman"/>
          <w:sz w:val="24"/>
          <w:szCs w:val="24"/>
          <w:lang w:val="bg"/>
        </w:rPr>
      </w:pPr>
      <w:r w:rsidRPr="00F75B07">
        <w:rPr>
          <w:rFonts w:ascii="Times New Roman" w:hAnsi="Times New Roman" w:cs="Times New Roman"/>
          <w:b/>
          <w:bCs/>
          <w:sz w:val="24"/>
          <w:szCs w:val="24"/>
          <w:lang w:val="bg"/>
        </w:rPr>
        <w:t>Закон за кооперациите (GenG):</w:t>
      </w:r>
      <w:r w:rsidRPr="00F75B07">
        <w:rPr>
          <w:rFonts w:ascii="Times New Roman" w:hAnsi="Times New Roman" w:cs="Times New Roman"/>
          <w:sz w:val="24"/>
          <w:szCs w:val="24"/>
          <w:lang w:val="bg"/>
        </w:rPr>
        <w:t xml:space="preserve"> Този закон очертава изискванията за създаване и функциониране на кооперации. Енергийните общности, организирани като кооперации, трябва да се регистрират в асоциация за задължителен одит и да спазват специфични изисквания за управление и финансово отчитане.</w:t>
      </w:r>
    </w:p>
    <w:p w:rsidR="007906A8"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lastRenderedPageBreak/>
        <w:t>Тези закони и разпоредби създават благоприятна среда за енергийните общности в Германия, като насърчават местното производство на енергия от възобновяеми източници и участието на гражданите на енергийния пазар.</w:t>
      </w:r>
    </w:p>
    <w:p w:rsidR="00F75B07" w:rsidRPr="00F75B07" w:rsidRDefault="00F75B07" w:rsidP="00F75B07">
      <w:pPr>
        <w:spacing w:line="276" w:lineRule="auto"/>
        <w:jc w:val="both"/>
        <w:rPr>
          <w:rFonts w:ascii="Times New Roman" w:hAnsi="Times New Roman" w:cs="Times New Roman"/>
          <w:sz w:val="24"/>
          <w:szCs w:val="24"/>
          <w:lang w:val="bg"/>
        </w:rPr>
      </w:pPr>
    </w:p>
    <w:p w:rsidR="007906A8" w:rsidRDefault="007906A8" w:rsidP="00B01311">
      <w:pPr>
        <w:numPr>
          <w:ilvl w:val="2"/>
          <w:numId w:val="188"/>
        </w:numPr>
        <w:spacing w:line="276" w:lineRule="auto"/>
        <w:jc w:val="both"/>
        <w:rPr>
          <w:rFonts w:ascii="Times New Roman" w:hAnsi="Times New Roman" w:cs="Times New Roman"/>
          <w:color w:val="24B1C0"/>
          <w:sz w:val="28"/>
          <w:szCs w:val="28"/>
          <w:lang w:val="bg"/>
        </w:rPr>
      </w:pPr>
      <w:bookmarkStart w:id="415" w:name="bookmark528"/>
      <w:bookmarkStart w:id="416" w:name="bookmark527"/>
      <w:r w:rsidRPr="00F75B07">
        <w:rPr>
          <w:rFonts w:ascii="Times New Roman" w:hAnsi="Times New Roman" w:cs="Times New Roman"/>
          <w:color w:val="24B1C0"/>
          <w:sz w:val="28"/>
          <w:szCs w:val="28"/>
          <w:lang w:val="bg"/>
        </w:rPr>
        <w:t>Интелигентни измервателни уреди и платформи за данни</w:t>
      </w:r>
      <w:bookmarkEnd w:id="415"/>
      <w:bookmarkEnd w:id="416"/>
    </w:p>
    <w:p w:rsidR="00F75B07" w:rsidRPr="00F75B07" w:rsidRDefault="00F75B07" w:rsidP="00F75B07">
      <w:pPr>
        <w:spacing w:line="276" w:lineRule="auto"/>
        <w:jc w:val="both"/>
        <w:rPr>
          <w:rFonts w:ascii="Times New Roman" w:hAnsi="Times New Roman" w:cs="Times New Roman"/>
          <w:color w:val="24B1C0"/>
          <w:sz w:val="28"/>
          <w:szCs w:val="28"/>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Германия работи за широкото внедряване на интелигентни измервателни уреди като част от своята стратегия за енергиен преход. Разгръщането обаче беше изправено пред няколко предизвикателства, което доведе до по-бавен напредък в сравнение с други европейски държави. До 2021 г. само около 160 000 от над 50-те милиона места за измерване бяха оборудвани с интелигентни измервателни системи.</w:t>
      </w:r>
      <w:hyperlink w:anchor="bookmark145" w:tooltip="Current Document">
        <w:r w:rsidRPr="002E2E94">
          <w:rPr>
            <w:rStyle w:val="Hyperlink"/>
            <w:rFonts w:ascii="Times New Roman" w:hAnsi="Times New Roman" w:cs="Times New Roman"/>
            <w:sz w:val="24"/>
            <w:szCs w:val="24"/>
            <w:vertAlign w:val="superscript"/>
            <w:lang w:val="bg"/>
          </w:rPr>
          <w:footnoteReference w:id="127"/>
        </w:r>
      </w:hyperlink>
      <w:r w:rsidRPr="00F75B07">
        <w:rPr>
          <w:rFonts w:ascii="Times New Roman" w:hAnsi="Times New Roman" w:cs="Times New Roman"/>
          <w:sz w:val="24"/>
          <w:szCs w:val="24"/>
          <w:lang w:val="bg"/>
        </w:rPr>
        <w:t xml:space="preserve"> Това поставя Германия сред изоставащите в Европа, като страни като Дания и Швеция постигат почти 100% покритие за същия период. За да се справи с това, през 2023 г. германското правителство прие проектозакон за възобновяване на цифровизацията на енергийния преход и ускоряване на въвеждането на интелигентно измерване. Законът, който влезе в сила през пролетта на 2023 г., определя задължителни срокове за постигане на цялостно въвеждане до 2030 г. Целите включват 20 % въвеждане до края на 2025 г., 50 % до края на 2028 г. и 95 % до края на 2030 г. за битовите потребители и потребителите от малкия бизнес.</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Бавното въвеждане на интелигентни измервателни уреди в Германия поставя значителни предизвикателства пред енергийните общности. Един от основните проблеми е ограничената наличност на данни в реално време. Бавното внедряване означава, че много ЕК нямат достъп до необходимите данни, за да оптимизират потреблението на енергия и да интегрират ефективно възобновяемите енергийни източници. Това ограничение възпрепятства способността им да реализират напълно потенциалните ползи от интелигентните измервателни уреди, като например икономии на разходи и подобрена енергийна ефективност. Забавеното въвеждане засяга и ангажираността на потребителите. Без широк достъп до интелигентни измервателни уреди е по-малко вероятно потребителите да участват активно в инициативи за енергоспестяване и оптимизация на потреблението. Регулаторните и техническите предизвикателства допринесоха за бавното въвеждане. Те включват необходимостта от сертифициране на порталите за интелигентни измервателни уреди и спазването на строги разпоредби за защита на данните, които забавиха процеса на внедряване и увеличиха разходите. Освен това бавното въвеждане забави прилагането на динамични тарифи, които са от съществено значение за насърчаване на потребителите да пренасочат потреблението си на енергия към периоди извън върхово натоварване и да намалят общото търсене в мрежата.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Германия няма единен, централизиран център за данни за интелигентни измервателни уреди, подобен на Enedis DataHub във Франция. Вместо това страната използва децентрализиран подход с множество системи и платформи за управление на данните от интелигентните измервателни уреди.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lastRenderedPageBreak/>
        <w:t>Ядрото на германската инфраструктура за интелигентни измервателни уреди е Smart Meter Gateway (SMGW).</w:t>
      </w:r>
      <w:hyperlink w:anchor="bookmark146" w:tooltip="Current Document">
        <w:r w:rsidRPr="002E2E94">
          <w:rPr>
            <w:rStyle w:val="Hyperlink"/>
            <w:rFonts w:ascii="Times New Roman" w:hAnsi="Times New Roman" w:cs="Times New Roman"/>
            <w:sz w:val="24"/>
            <w:szCs w:val="24"/>
            <w:vertAlign w:val="superscript"/>
            <w:lang w:val="bg"/>
          </w:rPr>
          <w:footnoteReference w:id="128"/>
        </w:r>
      </w:hyperlink>
      <w:r w:rsidRPr="00F75B07">
        <w:rPr>
          <w:rFonts w:ascii="Times New Roman" w:hAnsi="Times New Roman" w:cs="Times New Roman"/>
          <w:sz w:val="24"/>
          <w:szCs w:val="24"/>
          <w:lang w:val="bg"/>
        </w:rPr>
        <w:t xml:space="preserve"> Тези портали улесняват сигурното и ефективно предаване на данни между интелигентните измервателни уреди и доставчиците на енергия. Те позволяват двупосочна комуникация, позволяваща обмен на данни в реално време и дистанционно управление на потреблението на енергия.</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Законът за експлоатацията на измервателните точки (MsbG)</w:t>
      </w:r>
      <w:hyperlink w:anchor="bookmark147" w:tooltip="Current Document">
        <w:r w:rsidRPr="002E2E94">
          <w:rPr>
            <w:rStyle w:val="Hyperlink"/>
            <w:rFonts w:ascii="Times New Roman" w:hAnsi="Times New Roman" w:cs="Times New Roman"/>
            <w:sz w:val="24"/>
            <w:szCs w:val="24"/>
            <w:vertAlign w:val="superscript"/>
            <w:lang w:val="bg"/>
          </w:rPr>
          <w:footnoteReference w:id="129"/>
        </w:r>
      </w:hyperlink>
      <w:r w:rsidRPr="00F75B07">
        <w:rPr>
          <w:rFonts w:ascii="Times New Roman" w:hAnsi="Times New Roman" w:cs="Times New Roman"/>
          <w:sz w:val="24"/>
          <w:szCs w:val="24"/>
          <w:lang w:val="bg"/>
        </w:rPr>
        <w:t xml:space="preserve"> урежда работата на измервателните точки и предаването на данни в интелигентните енергийни мрежи. Този акт предвижда технически и организационни спецификации за гарантиране на защитата и сигурността на данните. Федералната служба за информационна сигурност (BSI) е определила стандарти и профили за защита в рамките на MsbG за защита на данните на потребителите.</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Системата BSI Gateway Administration</w:t>
      </w:r>
      <w:hyperlink w:anchor="bookmark148" w:tooltip="Current Document">
        <w:r w:rsidRPr="002E2E94">
          <w:rPr>
            <w:rStyle w:val="Hyperlink"/>
            <w:rFonts w:ascii="Times New Roman" w:hAnsi="Times New Roman" w:cs="Times New Roman"/>
            <w:sz w:val="24"/>
            <w:szCs w:val="24"/>
            <w:vertAlign w:val="superscript"/>
            <w:lang w:val="bg"/>
          </w:rPr>
          <w:footnoteReference w:id="130"/>
        </w:r>
      </w:hyperlink>
      <w:r w:rsidRPr="00F75B07">
        <w:rPr>
          <w:rFonts w:ascii="Times New Roman" w:hAnsi="Times New Roman" w:cs="Times New Roman"/>
          <w:sz w:val="24"/>
          <w:szCs w:val="24"/>
          <w:lang w:val="bg"/>
        </w:rPr>
        <w:t xml:space="preserve"> наблюдава сигурната работа на шлюзовете за интелигентни измервателни уреди. Това включва управление на ключовете за криптиране, гарантиране на спазването на разпоредбите за защита на данните и наблюдение на целостта на предаването на данни.</w:t>
      </w:r>
    </w:p>
    <w:p w:rsidR="007906A8"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Няколко дружества предлагат конкурентни решения за обработка на данни от интелигентни измервателни уреди в Германия. Например EMH Metering предлага портфолио от измервателни уреди и комуникационни решения, които са от съществено значение за въвеждането на интелигентни измервателни уреди. BRUNATA-METRONA работи като оператор на измервателни точки за различни енергийни сектори, включително електроенергия и газ, предлагайки иновативни цифрови услуги и решения за рационализирано управление на енергията</w:t>
      </w:r>
    </w:p>
    <w:p w:rsidR="00F75B07" w:rsidRPr="00F75B07" w:rsidRDefault="00F75B07" w:rsidP="00F75B07">
      <w:pPr>
        <w:spacing w:line="276" w:lineRule="auto"/>
        <w:jc w:val="both"/>
        <w:rPr>
          <w:rFonts w:ascii="Times New Roman" w:hAnsi="Times New Roman" w:cs="Times New Roman"/>
          <w:sz w:val="24"/>
          <w:szCs w:val="24"/>
          <w:lang w:val="bg"/>
        </w:rPr>
      </w:pPr>
    </w:p>
    <w:p w:rsidR="007906A8" w:rsidRPr="00F75B07" w:rsidRDefault="007906A8" w:rsidP="00B01311">
      <w:pPr>
        <w:numPr>
          <w:ilvl w:val="1"/>
          <w:numId w:val="188"/>
        </w:numPr>
        <w:spacing w:line="276" w:lineRule="auto"/>
        <w:jc w:val="both"/>
        <w:rPr>
          <w:rFonts w:ascii="Times New Roman" w:hAnsi="Times New Roman" w:cs="Times New Roman"/>
          <w:color w:val="24B1C0"/>
          <w:sz w:val="32"/>
          <w:szCs w:val="32"/>
          <w:lang w:val="bg"/>
        </w:rPr>
      </w:pPr>
      <w:bookmarkStart w:id="421" w:name="bookmark531"/>
      <w:bookmarkStart w:id="422" w:name="bookmark530"/>
      <w:r w:rsidRPr="00F75B07">
        <w:rPr>
          <w:rFonts w:ascii="Times New Roman" w:hAnsi="Times New Roman" w:cs="Times New Roman"/>
          <w:color w:val="24B1C0"/>
          <w:sz w:val="32"/>
          <w:szCs w:val="32"/>
          <w:lang w:val="bg"/>
        </w:rPr>
        <w:t>Дания</w:t>
      </w:r>
      <w:bookmarkEnd w:id="421"/>
      <w:bookmarkEnd w:id="422"/>
    </w:p>
    <w:p w:rsidR="007906A8" w:rsidRDefault="007906A8" w:rsidP="00B01311">
      <w:pPr>
        <w:pStyle w:val="Heading3"/>
        <w:numPr>
          <w:ilvl w:val="2"/>
          <w:numId w:val="188"/>
        </w:numPr>
        <w:spacing w:line="276" w:lineRule="auto"/>
        <w:jc w:val="both"/>
        <w:rPr>
          <w:rFonts w:ascii="Times New Roman" w:hAnsi="Times New Roman" w:cs="Times New Roman"/>
          <w:color w:val="24B1C0"/>
          <w:sz w:val="28"/>
          <w:szCs w:val="28"/>
          <w:lang w:val="bg"/>
        </w:rPr>
      </w:pPr>
      <w:bookmarkStart w:id="423" w:name="bookmark534"/>
      <w:bookmarkStart w:id="424" w:name="bookmark533"/>
      <w:bookmarkStart w:id="425" w:name="_Toc203141338"/>
      <w:r w:rsidRPr="00F75B07">
        <w:rPr>
          <w:rFonts w:ascii="Times New Roman" w:hAnsi="Times New Roman" w:cs="Times New Roman"/>
          <w:color w:val="24B1C0"/>
          <w:sz w:val="28"/>
          <w:szCs w:val="28"/>
          <w:lang w:val="bg"/>
        </w:rPr>
        <w:t>Правна рамка</w:t>
      </w:r>
      <w:bookmarkEnd w:id="423"/>
      <w:bookmarkEnd w:id="424"/>
      <w:bookmarkEnd w:id="425"/>
    </w:p>
    <w:p w:rsidR="00F75B07" w:rsidRPr="00F75B07" w:rsidRDefault="00F75B07" w:rsidP="00F75B07">
      <w:pPr>
        <w:pStyle w:val="ListParagraph"/>
        <w:rPr>
          <w:lang w:val="bg"/>
        </w:rPr>
      </w:pPr>
    </w:p>
    <w:p w:rsidR="007906A8" w:rsidRPr="002E2E94" w:rsidRDefault="007906A8" w:rsidP="00F75B07">
      <w:pPr>
        <w:spacing w:line="276" w:lineRule="auto"/>
        <w:jc w:val="both"/>
        <w:rPr>
          <w:rFonts w:ascii="Times New Roman" w:hAnsi="Times New Roman" w:cs="Times New Roman"/>
          <w:sz w:val="24"/>
          <w:szCs w:val="24"/>
          <w:vertAlign w:val="superscript"/>
          <w:lang w:val="bg"/>
        </w:rPr>
      </w:pPr>
      <w:r w:rsidRPr="00F75B07">
        <w:rPr>
          <w:rFonts w:ascii="Times New Roman" w:hAnsi="Times New Roman" w:cs="Times New Roman"/>
          <w:sz w:val="24"/>
          <w:szCs w:val="24"/>
          <w:lang w:val="bg"/>
        </w:rPr>
        <w:t xml:space="preserve">Дания е създала стабилна правна рамка в подкрепа на развитието и интеграцията на енергийните общности, която е в съответствие както с националните политики, така и с директивите на ЕС. Първичното законодателство, уреждащо енергийните общности, включва Закона за енергийните доставки (Elforsyningsloven) и Закона за насърчаване на енергията от възобновяеми източници (Lov om Fremme af Vedvarende Energi). Тези закони осигуряват основата за създаването и функционирането на </w:t>
      </w:r>
      <w:r w:rsidRPr="00F75B07">
        <w:rPr>
          <w:rFonts w:ascii="Times New Roman" w:hAnsi="Times New Roman" w:cs="Times New Roman"/>
          <w:sz w:val="24"/>
          <w:szCs w:val="24"/>
        </w:rPr>
        <w:t>CEC</w:t>
      </w:r>
      <w:r w:rsidRPr="00F75B07">
        <w:rPr>
          <w:rFonts w:ascii="Times New Roman" w:hAnsi="Times New Roman" w:cs="Times New Roman"/>
          <w:sz w:val="24"/>
          <w:szCs w:val="24"/>
          <w:lang w:val="bg"/>
        </w:rPr>
        <w:t xml:space="preserve"> и </w:t>
      </w:r>
      <w:r w:rsidRPr="00F75B07">
        <w:rPr>
          <w:rFonts w:ascii="Times New Roman" w:hAnsi="Times New Roman" w:cs="Times New Roman"/>
          <w:sz w:val="24"/>
          <w:szCs w:val="24"/>
        </w:rPr>
        <w:t>REC</w:t>
      </w:r>
      <w:r w:rsidRPr="00F75B07">
        <w:rPr>
          <w:rFonts w:ascii="Times New Roman" w:hAnsi="Times New Roman" w:cs="Times New Roman"/>
          <w:sz w:val="24"/>
          <w:szCs w:val="24"/>
          <w:lang w:val="bg"/>
        </w:rPr>
        <w:t xml:space="preserve"> в Дания</w:t>
      </w:r>
      <w:hyperlink w:anchor="bookmark149" w:tooltip="Current Document">
        <w:r w:rsidRPr="002E2E94">
          <w:rPr>
            <w:rStyle w:val="Hyperlink"/>
            <w:rFonts w:ascii="Times New Roman" w:hAnsi="Times New Roman" w:cs="Times New Roman"/>
            <w:sz w:val="24"/>
            <w:szCs w:val="24"/>
            <w:vertAlign w:val="superscript"/>
            <w:lang w:val="bg"/>
          </w:rPr>
          <w:footnoteReference w:id="131"/>
        </w:r>
      </w:hyperlink>
      <w:r w:rsidRPr="002E2E94">
        <w:rPr>
          <w:rFonts w:ascii="Times New Roman" w:hAnsi="Times New Roman" w:cs="Times New Roman"/>
          <w:sz w:val="24"/>
          <w:szCs w:val="24"/>
          <w:vertAlign w:val="superscript"/>
          <w:lang w:val="bg"/>
        </w:rPr>
        <w:t>.</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 xml:space="preserve">Транспонирането на директивите на ЕС, по-специално Директивата за пазара на електроенергия (2019/944) и Директивата за енергията от възобновяеми източници (2018/2001), оказа значително влияние върху регулаторната среда в Дания. Тези директиви насърчават интегрирането на възобновяемите енергийни източници и създаването на ЕО, </w:t>
      </w:r>
      <w:r w:rsidRPr="00F75B07">
        <w:rPr>
          <w:rFonts w:ascii="Times New Roman" w:hAnsi="Times New Roman" w:cs="Times New Roman"/>
          <w:sz w:val="24"/>
          <w:szCs w:val="24"/>
          <w:lang w:val="bg"/>
        </w:rPr>
        <w:lastRenderedPageBreak/>
        <w:t>като гарантират, че правната рамка на Дания е в хармония с по-широките европейски енергийни политики.</w:t>
      </w:r>
      <w:hyperlink w:anchor="bookmark150" w:tooltip="Current Document">
        <w:r w:rsidRPr="002E2E94">
          <w:rPr>
            <w:rStyle w:val="Hyperlink"/>
            <w:rFonts w:ascii="Times New Roman" w:hAnsi="Times New Roman" w:cs="Times New Roman"/>
            <w:sz w:val="24"/>
            <w:szCs w:val="24"/>
            <w:vertAlign w:val="superscript"/>
            <w:lang w:val="bg"/>
          </w:rPr>
          <w:footnoteReference w:id="132"/>
        </w:r>
      </w:hyperlink>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В допълнение към първичното законодателство Дания е издала няколко изпълнителни заповеди, в които подробно се описва прилагането на Закона за енергийните доставки и Закона за насърчаване на енергията от възобновяеми източници. Тези поръчки обхващат аспекти като споделянето на електроенергия, достъпа до мрежата и сътрудничеството между операторите на разпределителни системи и енергийните общности. Датската енергийна агенция също така управлява схеми за отпускане на безвъзмездни средства в подкрепа на общностни проекти и информационни инициативи в областта на енергетиката.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Въпреки всеобхватната правна рамка все още съществуват предизвикателства пред пълното развитие на енергийните общности в Дания. Регулаторните и административните пречки остават и правителството продължава да работи по по-нататъшни преразглеждания за подобряване на благоприятната рамка за енергийните общности.</w:t>
      </w:r>
    </w:p>
    <w:p w:rsidR="007906A8" w:rsidRDefault="007906A8" w:rsidP="00B01311">
      <w:pPr>
        <w:pStyle w:val="Heading3"/>
        <w:numPr>
          <w:ilvl w:val="2"/>
          <w:numId w:val="188"/>
        </w:numPr>
        <w:jc w:val="both"/>
        <w:rPr>
          <w:rFonts w:ascii="Times New Roman" w:hAnsi="Times New Roman" w:cs="Times New Roman"/>
          <w:color w:val="24B1C0"/>
          <w:sz w:val="28"/>
          <w:szCs w:val="28"/>
          <w:lang w:val="bg"/>
        </w:rPr>
      </w:pPr>
      <w:bookmarkStart w:id="427" w:name="bookmark537"/>
      <w:bookmarkStart w:id="428" w:name="bookmark536"/>
      <w:bookmarkStart w:id="429" w:name="_Toc203141339"/>
      <w:r w:rsidRPr="00F75B07">
        <w:rPr>
          <w:rFonts w:ascii="Times New Roman" w:hAnsi="Times New Roman" w:cs="Times New Roman"/>
          <w:color w:val="24B1C0"/>
          <w:sz w:val="28"/>
          <w:szCs w:val="28"/>
          <w:lang w:val="bg"/>
        </w:rPr>
        <w:t>Интелигентни измервателни уреди и платформи за данни</w:t>
      </w:r>
      <w:bookmarkEnd w:id="427"/>
      <w:bookmarkEnd w:id="428"/>
      <w:bookmarkEnd w:id="429"/>
    </w:p>
    <w:p w:rsidR="00F75B07" w:rsidRPr="00F75B07" w:rsidRDefault="00F75B07" w:rsidP="00F75B07">
      <w:pPr>
        <w:pStyle w:val="ListParagraph"/>
        <w:ind w:left="1080"/>
        <w:rPr>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Дания е лидер в внедряването на интелигентни измервателни уреди, като е постигнала почти пълно покритие в цялата страна. Това широко внедряване изигра важна роля за подпомагане на развитието и функционирането на енергийните общности, улесняване на интегрирането на възобновяеми енергийни източници и повишаване на енергийната ефективност.</w:t>
      </w:r>
    </w:p>
    <w:p w:rsidR="007906A8" w:rsidRPr="002E2E94" w:rsidRDefault="007906A8" w:rsidP="00F75B07">
      <w:pPr>
        <w:spacing w:line="276" w:lineRule="auto"/>
        <w:jc w:val="both"/>
        <w:rPr>
          <w:rFonts w:ascii="Times New Roman" w:hAnsi="Times New Roman" w:cs="Times New Roman"/>
          <w:sz w:val="24"/>
          <w:szCs w:val="24"/>
          <w:vertAlign w:val="superscript"/>
          <w:lang w:val="bg"/>
        </w:rPr>
      </w:pPr>
      <w:r w:rsidRPr="00F75B07">
        <w:rPr>
          <w:rFonts w:ascii="Times New Roman" w:hAnsi="Times New Roman" w:cs="Times New Roman"/>
          <w:sz w:val="24"/>
          <w:szCs w:val="24"/>
          <w:lang w:val="bg"/>
        </w:rPr>
        <w:t>Въвеждането на интелигентни измервателни уреди в Дания започна сериозно през 2014 г., водено от национално решение за инсталиране на тези измервателни уреди за всички жители. До края на 2020 г. Дания е постигнала 99 % покритие на интелигентните измервателни уреди.</w:t>
      </w:r>
      <w:hyperlink w:anchor="bookmark151" w:tooltip="Current Document">
        <w:r w:rsidRPr="002E2E94">
          <w:rPr>
            <w:rStyle w:val="Hyperlink"/>
            <w:rFonts w:ascii="Times New Roman" w:hAnsi="Times New Roman" w:cs="Times New Roman"/>
            <w:sz w:val="24"/>
            <w:szCs w:val="24"/>
            <w:vertAlign w:val="superscript"/>
            <w:lang w:val="bg"/>
          </w:rPr>
          <w:footnoteReference w:id="133"/>
        </w:r>
      </w:hyperlink>
      <w:r w:rsidRPr="00F75B07">
        <w:rPr>
          <w:rFonts w:ascii="Times New Roman" w:hAnsi="Times New Roman" w:cs="Times New Roman"/>
          <w:sz w:val="24"/>
          <w:szCs w:val="24"/>
          <w:lang w:val="bg"/>
        </w:rPr>
        <w:t xml:space="preserve"> Сътрудничеството Radius-Kamstrup изигра значителна роля за това постижение, като инсталира 1 милион електромери с дистанционно отчитане и отговаря на всички стандарти за безопасност в рамките на бюджета.</w:t>
      </w:r>
      <w:hyperlink w:anchor="bookmark152" w:tooltip="Current Document">
        <w:r w:rsidRPr="002E2E94">
          <w:rPr>
            <w:rStyle w:val="Hyperlink"/>
            <w:rFonts w:ascii="Times New Roman" w:hAnsi="Times New Roman" w:cs="Times New Roman"/>
            <w:sz w:val="24"/>
            <w:szCs w:val="24"/>
            <w:vertAlign w:val="superscript"/>
            <w:lang w:val="bg"/>
          </w:rPr>
          <w:footnoteReference w:id="134"/>
        </w:r>
      </w:hyperlink>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Датското правителство възложи инсталирането на интелигентни измервателни уреди, за да се подобри цифровизацията на енергийния сектор и да се подкрепи развитието на интелигентна електрическа мрежа. Цялостното внедряване на интелигентни измервателни уреди гарантира, че почти всички домакинства и предприятия в Дания имат достъп до данни за потреблението на енергия в реално време.</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Интелигентните измервателни уреди са критичен компонент в работата на енергийните общности в Дания. Те осигуряват необходимата инфраструктура за данни за наблюдение, анализ и оптимизиране на потреблението на енергия в рамките на общността. Интелигентните измервателни уреди осигуряват достъп в реално време до данни за потреблението на енергия, което дава възможност на членовете на енергийните общности да наблюдават потреблението си на енергия и да вземат информирани решения. Тези данни са достъпни чрез платформи като ElOverblik на Energinet,</w:t>
      </w:r>
      <w:hyperlink w:anchor="bookmark153" w:tooltip="Current Document">
        <w:r w:rsidRPr="002E2E94">
          <w:rPr>
            <w:rStyle w:val="Hyperlink"/>
            <w:rFonts w:ascii="Times New Roman" w:hAnsi="Times New Roman" w:cs="Times New Roman"/>
            <w:sz w:val="24"/>
            <w:szCs w:val="24"/>
            <w:vertAlign w:val="superscript"/>
            <w:lang w:val="bg"/>
          </w:rPr>
          <w:footnoteReference w:id="135"/>
        </w:r>
      </w:hyperlink>
      <w:r w:rsidRPr="00F75B07">
        <w:rPr>
          <w:rFonts w:ascii="Times New Roman" w:hAnsi="Times New Roman" w:cs="Times New Roman"/>
          <w:sz w:val="24"/>
          <w:szCs w:val="24"/>
          <w:lang w:val="bg"/>
        </w:rPr>
        <w:t xml:space="preserve"> която позволява на </w:t>
      </w:r>
      <w:r w:rsidRPr="00F75B07">
        <w:rPr>
          <w:rFonts w:ascii="Times New Roman" w:hAnsi="Times New Roman" w:cs="Times New Roman"/>
          <w:sz w:val="24"/>
          <w:szCs w:val="24"/>
          <w:lang w:val="bg"/>
        </w:rPr>
        <w:lastRenderedPageBreak/>
        <w:t>потребителите да проследяват своите модели на потребление на енергия. Тази прозрачност насърчава активното участие на енергийния пазар и насърчава енергоспестяващото поведение сред членовете на енергийните общности.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Интелигентните измервателни уреди улесняват интегрирането на разпределени енергийни ресурси (DER), като слънчеви панели и вятърни турбини. Като предоставят точни и навременни данни за производството и потреблението на енергия, интелигентните измервателни уреди помагат на енергийните общности да оптимизират използването на възобновяеми енергийни източници и да намалят зависимостта от изкопаеми горива. Данните, събрани от интелигентните измервателни уреди, поддържат усъвършенствани практики за анализ и управление на енергията. Енергийните общности могат да използват тези данни, за да идентифицират възможностите за енергоспестяване, да прилагат програми за оптимизация на потреблението и да подобрят цялостната енергийна ефективност.</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Цифровизацията на енергийния сектор, подкрепена от интелигентни измервателни уреди, дава възможност за разработване на иновативни енергийни решения и бизнес модели, които енергийните общности могат да използват, за да повишат оперативната си ефективност и устойчивост.</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 xml:space="preserve">Energinet, датският ОПС, управлява две платформи за данни: </w:t>
      </w:r>
      <w:r w:rsidRPr="00F75B07">
        <w:rPr>
          <w:rFonts w:ascii="Times New Roman" w:hAnsi="Times New Roman" w:cs="Times New Roman"/>
          <w:b/>
          <w:bCs/>
          <w:sz w:val="24"/>
          <w:szCs w:val="24"/>
          <w:lang w:val="bg"/>
        </w:rPr>
        <w:t xml:space="preserve">DataHub </w:t>
      </w:r>
      <w:hyperlink w:anchor="bookmark154" w:tooltip="Current Document">
        <w:r w:rsidRPr="002E2E94">
          <w:rPr>
            <w:rStyle w:val="Hyperlink"/>
            <w:rFonts w:ascii="Times New Roman" w:hAnsi="Times New Roman" w:cs="Times New Roman"/>
            <w:bCs/>
            <w:sz w:val="24"/>
            <w:szCs w:val="24"/>
            <w:vertAlign w:val="superscript"/>
            <w:lang w:val="bg"/>
          </w:rPr>
          <w:footnoteReference w:id="136"/>
        </w:r>
      </w:hyperlink>
      <w:r w:rsidRPr="002E2E94">
        <w:rPr>
          <w:rFonts w:ascii="Times New Roman" w:hAnsi="Times New Roman" w:cs="Times New Roman"/>
          <w:sz w:val="24"/>
          <w:szCs w:val="24"/>
          <w:vertAlign w:val="superscript"/>
          <w:lang w:val="bg"/>
        </w:rPr>
        <w:t xml:space="preserve"> </w:t>
      </w:r>
      <w:r w:rsidRPr="00F75B07">
        <w:rPr>
          <w:rFonts w:ascii="Times New Roman" w:hAnsi="Times New Roman" w:cs="Times New Roman"/>
          <w:sz w:val="24"/>
          <w:szCs w:val="24"/>
          <w:lang w:val="bg"/>
        </w:rPr>
        <w:t xml:space="preserve">и </w:t>
      </w:r>
      <w:r w:rsidRPr="00F75B07">
        <w:rPr>
          <w:rFonts w:ascii="Times New Roman" w:hAnsi="Times New Roman" w:cs="Times New Roman"/>
          <w:b/>
          <w:bCs/>
          <w:sz w:val="24"/>
          <w:szCs w:val="24"/>
          <w:lang w:val="bg"/>
        </w:rPr>
        <w:t>Energi Data Service</w:t>
      </w:r>
      <w:r w:rsidRPr="00F75B07">
        <w:rPr>
          <w:rFonts w:ascii="Times New Roman" w:hAnsi="Times New Roman" w:cs="Times New Roman"/>
          <w:sz w:val="24"/>
          <w:szCs w:val="24"/>
          <w:lang w:val="bg"/>
        </w:rPr>
        <w:t xml:space="preserve"> </w:t>
      </w:r>
      <w:hyperlink w:anchor="bookmark155" w:tooltip="Current Document">
        <w:r w:rsidRPr="002E2E94">
          <w:rPr>
            <w:rStyle w:val="Hyperlink"/>
            <w:rFonts w:ascii="Times New Roman" w:hAnsi="Times New Roman" w:cs="Times New Roman"/>
            <w:bCs/>
            <w:sz w:val="24"/>
            <w:szCs w:val="24"/>
            <w:vertAlign w:val="superscript"/>
            <w:lang w:val="bg"/>
          </w:rPr>
          <w:footnoteReference w:id="137"/>
        </w:r>
      </w:hyperlink>
      <w:r w:rsidRPr="002E2E94">
        <w:rPr>
          <w:rFonts w:ascii="Times New Roman" w:hAnsi="Times New Roman" w:cs="Times New Roman"/>
          <w:sz w:val="24"/>
          <w:szCs w:val="24"/>
          <w:vertAlign w:val="superscript"/>
          <w:lang w:val="bg"/>
        </w:rPr>
        <w:t>.</w:t>
      </w:r>
      <w:r w:rsidRPr="00F75B07">
        <w:rPr>
          <w:rFonts w:ascii="Times New Roman" w:hAnsi="Times New Roman" w:cs="Times New Roman"/>
          <w:sz w:val="24"/>
          <w:szCs w:val="24"/>
          <w:lang w:val="bg"/>
        </w:rPr>
        <w:t xml:space="preserve"> Тези платформи са от съществено значение за управлението и споделянето на енергийни данни, като по този начин подкрепят развитието и функционирането на енергийните общности в Дания.</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DataHub е централна и независима ИТ система, притежавана и управлявана от Energinet. Тя служи като гръбнак на датския пазар на електроенергия, като обработва цялата комуникация на данни между участниците на пазара. DataHub събира милиарди данни, свързани с клиентите, потреблението и цените, като гарантира безпроблемен и сигурен обмен на данни. Тази платформа поддържа различни пазарни процеси, включително смяна на клиенти, фактуриране и сетълмент, като по този начин повишава ефективността и надеждността на пазара на електроенергия.</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Една от ключовите характеристики на DataHub е способността му да предоставя на потребителите достъп до техните данни за потреблението на енергия чрез портала ElOverblik. Това дава възможност на потребителите да наблюдават потреблението си на енергия в реално време и да вземат информирани решения относно потреблението си на енергия. Освен това DataHub гарантира спазването на регулаторните изисквания, като предоставя точни и навременни данни на участниците на пазара и регулаторните органи.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 xml:space="preserve">За енергийните общности DataHub играе решаваща роля в DER, като дава възможност за ефективно управление и комуникация на данните. Това гарантира, че европейските енергийни общности могат да функционират безпроблемно в рамките на по-широкия пазар на електроенергия, като оптимизират производството и потреблението на енергия на общностно равнище. Като предоставя достъп в реално време до данни за потреблението чрез портала ElOverblik, DataHub дава възможност на членовете на енергийните общности </w:t>
      </w:r>
      <w:r w:rsidRPr="00F75B07">
        <w:rPr>
          <w:rFonts w:ascii="Times New Roman" w:hAnsi="Times New Roman" w:cs="Times New Roman"/>
          <w:sz w:val="24"/>
          <w:szCs w:val="24"/>
          <w:lang w:val="bg"/>
        </w:rPr>
        <w:lastRenderedPageBreak/>
        <w:t>да наблюдават своето потребление на енергия, да вземат информирани решения и да участват активно на енергийния пазар.</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Energi Data Service е друга жизненоважна платформа, управлявана от Energinet, предназначена да осигури свободен достъп до енергийни данни за различни заинтересовани страни. Тази платформа предлага изчерпателен каталог с данни, който включва набори от данни за потреблението на електроенергия, производството, експлоатацията на мрежата и пазарните цени. Като прави тези данни публично достъпни, Energi Data Service насърчава иновациите и подкрепя разработването на нови енергийни решения и технологии.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Платформата разполага с усъвършенствани инструменти за анализ и визуализация, които позволяват на потребителите да анализират енергийните данни и да получат представа за енергийните тенденции и модели. Energi Data Service също така подкрепя екологичния преход, като улеснява интегрирането на възобновяеми енергийни източници и насърчава енергийната ефективност. Платформата се актуализира редовно, за да се гарантира наличието на най-новите данни, което я прави ценен ресурс за изследователите, заинтересованите страни от промишлеността и обществеността.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За енергийните общности Energi Data Service предоставя необходимата инфраструктура за данни за наблюдение и оптимизиране на потреблението на енергия. Платформата разполага с усъвършенствани инструменти за анализ и визуализация, които позволяват на енергийните общности да анализират енергийните данни и да получат представа за енергийните тенденции и модели. Този подход, основан на данни, помага на енергийните общности да повишат оперативната си ефективност, да намалят разходите и да допринесат за постигането на целите на Дания за устойчивост. Чрез използване на свободно достъпните данни, налични в услугата за данни Energi, енергийните общности могат да подобрят своите практики за управление на енергията и да подкрепят интегрирането на възобновяеми енергийни източници.</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DataHub и Energi Data Service заедно осигуряват основната инфраструктура за данни, необходима за подпомагане на енергийния преход на Дания, подобряване на управлението на мрежата и овластяване на потребителите. Тези платформи илюстрират ангажимента на Energinet за прозрачност, иновации и устойчивост в енергийния сектор.</w:t>
      </w:r>
    </w:p>
    <w:p w:rsidR="007906A8" w:rsidRDefault="007906A8" w:rsidP="00B01311">
      <w:pPr>
        <w:pStyle w:val="Heading3"/>
        <w:numPr>
          <w:ilvl w:val="2"/>
          <w:numId w:val="188"/>
        </w:numPr>
        <w:jc w:val="both"/>
        <w:rPr>
          <w:rFonts w:ascii="Times New Roman" w:hAnsi="Times New Roman" w:cs="Times New Roman"/>
          <w:color w:val="24B1C0"/>
          <w:sz w:val="28"/>
          <w:szCs w:val="28"/>
          <w:lang w:val="bg"/>
        </w:rPr>
      </w:pPr>
      <w:bookmarkStart w:id="434" w:name="bookmark540"/>
      <w:bookmarkStart w:id="435" w:name="bookmark539"/>
      <w:bookmarkStart w:id="436" w:name="_Toc203141340"/>
      <w:r w:rsidRPr="00F75B07">
        <w:rPr>
          <w:rFonts w:ascii="Times New Roman" w:hAnsi="Times New Roman" w:cs="Times New Roman"/>
          <w:color w:val="24B1C0"/>
          <w:sz w:val="28"/>
          <w:szCs w:val="28"/>
          <w:lang w:val="bg"/>
        </w:rPr>
        <w:t>Други услуги за данни за енергийните общности в Дания</w:t>
      </w:r>
      <w:bookmarkEnd w:id="434"/>
      <w:bookmarkEnd w:id="435"/>
      <w:bookmarkEnd w:id="436"/>
    </w:p>
    <w:p w:rsidR="00F75B07" w:rsidRPr="00F75B07" w:rsidRDefault="00F75B07" w:rsidP="00F75B07">
      <w:pPr>
        <w:pStyle w:val="ListParagraph"/>
        <w:ind w:left="1080"/>
        <w:rPr>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В допълнение към DataHub и Energi Data Service на Energinet, няколко други платформи и услуги за данни се използват за подпомагане на развитието и функционирането на енергийните общности в Дания. Тези платформи предоставят основни данни за управление на потреблението, производството и разпределението на енергия, като по този начин улесняват интегрирането на възобновяемите енергийни източници и повишават енергийната ефективност.</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EnergyDataDK</w:t>
      </w:r>
      <w:hyperlink w:anchor="bookmark156" w:tooltip="Current Document">
        <w:r w:rsidRPr="002E2E94">
          <w:rPr>
            <w:rStyle w:val="Hyperlink"/>
            <w:rFonts w:ascii="Times New Roman" w:hAnsi="Times New Roman" w:cs="Times New Roman"/>
            <w:sz w:val="24"/>
            <w:szCs w:val="24"/>
            <w:vertAlign w:val="superscript"/>
            <w:lang w:val="bg"/>
          </w:rPr>
          <w:footnoteReference w:id="138"/>
        </w:r>
      </w:hyperlink>
      <w:r w:rsidRPr="00F75B07">
        <w:rPr>
          <w:rFonts w:ascii="Times New Roman" w:hAnsi="Times New Roman" w:cs="Times New Roman"/>
          <w:sz w:val="24"/>
          <w:szCs w:val="24"/>
          <w:lang w:val="bg"/>
        </w:rPr>
        <w:t xml:space="preserve"> е цялостна платформа, която събира, съхранява, анализира и споделя енергийни данни от различни източници в Дания. Осъществява се от Техническия университет на Дания (DTU), тази платформа предоставя достъп в реално време до широк </w:t>
      </w:r>
      <w:r w:rsidRPr="00F75B07">
        <w:rPr>
          <w:rFonts w:ascii="Times New Roman" w:hAnsi="Times New Roman" w:cs="Times New Roman"/>
          <w:sz w:val="24"/>
          <w:szCs w:val="24"/>
          <w:lang w:val="bg"/>
        </w:rPr>
        <w:lastRenderedPageBreak/>
        <w:t>спектър от енергийни данни, включително емисии на CO2, измервания на мощността и напрежението и оперативни данни от системите за централно отопление. EnergyDataDK подкрепя разработването на основани на данни решения и иновации в енергийния сектор, като предлага прозрения за моделите и поведението на потреблението на енергия. Тази платформа е особено ценна за енергийните общности, тъй като им дава възможност да наблюдават и оптимизират потреблението си на енергия, допринасяйки за цялостната ефективност и устойчивост на общността.</w:t>
      </w: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Center Denmark</w:t>
      </w:r>
      <w:r w:rsidRPr="00F75B07">
        <w:rPr>
          <w:rFonts w:ascii="Times New Roman" w:hAnsi="Times New Roman" w:cs="Times New Roman"/>
          <w:sz w:val="24"/>
          <w:szCs w:val="24"/>
          <w:vertAlign w:val="superscript"/>
          <w:lang w:val="bg"/>
        </w:rPr>
        <w:t>169</w:t>
      </w:r>
      <w:r w:rsidRPr="00F75B07">
        <w:rPr>
          <w:rFonts w:ascii="Times New Roman" w:hAnsi="Times New Roman" w:cs="Times New Roman"/>
          <w:sz w:val="24"/>
          <w:szCs w:val="24"/>
          <w:lang w:val="bg"/>
        </w:rPr>
        <w:t xml:space="preserve"> управлява платформа за данни, която събира и управлява енергийни данни от над 200 000 датски домакинства. Платформата е предназначена да стимулира дигитализацията и иновациите в енергийния сектор чрез осигуряване на ефективно и сигурно управление на данните. Той поддържа усъвършенствани анализи, наблюдение в реално време и използване на технологии с ИИ. Събраните данни включват информация от електроенергийната система, водоснабдяването, централното отопление и газовите системи. За енергийните общности тази платформа предлага необходимата инфраструктура за данни за повишаване на оперативната ефективност, намаляване на разходите и подпомагане на интегрирането на възобновяеми енергийни източници.</w:t>
      </w:r>
    </w:p>
    <w:p w:rsidR="007906A8" w:rsidRPr="00AE1ED0" w:rsidRDefault="00AE1ED0" w:rsidP="00AE1ED0">
      <w:pPr>
        <w:pStyle w:val="Heading2"/>
        <w:spacing w:line="276" w:lineRule="auto"/>
        <w:jc w:val="both"/>
        <w:rPr>
          <w:rFonts w:ascii="Times New Roman" w:hAnsi="Times New Roman" w:cs="Times New Roman"/>
          <w:color w:val="24B1C0"/>
          <w:sz w:val="28"/>
          <w:szCs w:val="28"/>
        </w:rPr>
      </w:pPr>
      <w:bookmarkStart w:id="438" w:name="bookmark543"/>
      <w:bookmarkStart w:id="439" w:name="bookmark542"/>
      <w:bookmarkStart w:id="440" w:name="_Toc203141341"/>
      <w:r>
        <w:rPr>
          <w:rFonts w:ascii="Times New Roman" w:hAnsi="Times New Roman" w:cs="Times New Roman"/>
          <w:color w:val="24B1C0"/>
          <w:sz w:val="28"/>
          <w:szCs w:val="28"/>
          <w:lang w:val="bg-BG"/>
        </w:rPr>
        <w:t xml:space="preserve">6.4 </w:t>
      </w:r>
      <w:r w:rsidR="007906A8" w:rsidRPr="00AE1ED0">
        <w:rPr>
          <w:rFonts w:ascii="Times New Roman" w:hAnsi="Times New Roman" w:cs="Times New Roman"/>
          <w:color w:val="24B1C0"/>
          <w:sz w:val="28"/>
          <w:szCs w:val="28"/>
        </w:rPr>
        <w:t>Интелигентни измервателни уреди в Норвегия</w:t>
      </w:r>
      <w:bookmarkEnd w:id="438"/>
      <w:bookmarkEnd w:id="439"/>
      <w:bookmarkEnd w:id="440"/>
    </w:p>
    <w:p w:rsidR="00B977EC" w:rsidRPr="00AE1ED0" w:rsidRDefault="00B977EC" w:rsidP="00B977EC">
      <w:pPr>
        <w:pStyle w:val="ListParagraph"/>
        <w:ind w:left="1005"/>
        <w:rPr>
          <w:rFonts w:ascii="Times New Roman" w:hAnsi="Times New Roman" w:cs="Times New Roman"/>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Внедряването на интелигентно измерване в Норвегия, известно още като усъвършенствани измервателни системи (AMS), започна с пилотни проекти в началото на първото десетилетие на 21-ви век и се превърна в правно изискване за всички дружества за електроенергийни мрежи през 2019 г. ОРС отговарят за инсталирането и експлоатацията на системата AMS. Днес почти 100% от норвежките домакинства имат инсталирани интелигентни измервателни уреди.</w:t>
      </w:r>
    </w:p>
    <w:p w:rsidR="007906A8" w:rsidRDefault="007906A8" w:rsidP="00B01311">
      <w:pPr>
        <w:pStyle w:val="Heading3"/>
        <w:numPr>
          <w:ilvl w:val="2"/>
          <w:numId w:val="189"/>
        </w:numPr>
        <w:spacing w:line="276" w:lineRule="auto"/>
        <w:jc w:val="both"/>
        <w:rPr>
          <w:rFonts w:ascii="Times New Roman" w:hAnsi="Times New Roman" w:cs="Times New Roman"/>
          <w:color w:val="24B1C0"/>
          <w:sz w:val="28"/>
          <w:szCs w:val="28"/>
          <w:lang w:val="bg"/>
        </w:rPr>
      </w:pPr>
      <w:bookmarkStart w:id="441" w:name="bookmark546"/>
      <w:bookmarkStart w:id="442" w:name="bookmark545"/>
      <w:bookmarkStart w:id="443" w:name="_Toc203141342"/>
      <w:r w:rsidRPr="00B977EC">
        <w:rPr>
          <w:rFonts w:ascii="Times New Roman" w:hAnsi="Times New Roman" w:cs="Times New Roman"/>
          <w:color w:val="24B1C0"/>
          <w:sz w:val="28"/>
          <w:szCs w:val="28"/>
          <w:lang w:val="bg"/>
        </w:rPr>
        <w:t>Техническа спецификация на интелигентните измервателни уреди</w:t>
      </w:r>
      <w:bookmarkEnd w:id="441"/>
      <w:bookmarkEnd w:id="442"/>
      <w:bookmarkEnd w:id="443"/>
    </w:p>
    <w:p w:rsidR="00B977EC" w:rsidRPr="00B977EC" w:rsidRDefault="00B977EC" w:rsidP="00B977EC">
      <w:pPr>
        <w:pStyle w:val="ListParagraph"/>
        <w:ind w:left="1080"/>
        <w:rPr>
          <w:lang w:val="bg"/>
        </w:rPr>
      </w:pPr>
    </w:p>
    <w:p w:rsidR="007906A8" w:rsidRPr="00F75B07" w:rsidRDefault="007906A8" w:rsidP="00F75B07">
      <w:pPr>
        <w:spacing w:line="276" w:lineRule="auto"/>
        <w:jc w:val="both"/>
        <w:rPr>
          <w:rFonts w:ascii="Times New Roman" w:hAnsi="Times New Roman" w:cs="Times New Roman"/>
          <w:sz w:val="24"/>
          <w:szCs w:val="24"/>
          <w:lang w:val="bg"/>
        </w:rPr>
      </w:pPr>
      <w:r w:rsidRPr="00F75B07">
        <w:rPr>
          <w:rFonts w:ascii="Times New Roman" w:hAnsi="Times New Roman" w:cs="Times New Roman"/>
          <w:sz w:val="24"/>
          <w:szCs w:val="24"/>
          <w:lang w:val="bg"/>
        </w:rPr>
        <w:t>Интелигентните измервателни уреди за частни домакинства в Норвегия имат няколко технически спецификации, предназначени да подобрят ефективността и точността на мониторинга на потреблението на електроенергия.</w:t>
      </w:r>
    </w:p>
    <w:p w:rsidR="00B977EC" w:rsidRDefault="007906A8" w:rsidP="00B01311">
      <w:pPr>
        <w:pStyle w:val="ListParagraph"/>
        <w:numPr>
          <w:ilvl w:val="0"/>
          <w:numId w:val="164"/>
        </w:numPr>
        <w:spacing w:line="276" w:lineRule="auto"/>
        <w:jc w:val="both"/>
        <w:rPr>
          <w:rFonts w:ascii="Times New Roman" w:hAnsi="Times New Roman" w:cs="Times New Roman"/>
          <w:sz w:val="24"/>
          <w:szCs w:val="24"/>
          <w:lang w:val="bg"/>
        </w:rPr>
      </w:pPr>
      <w:r w:rsidRPr="00B977EC">
        <w:rPr>
          <w:rFonts w:ascii="Times New Roman" w:hAnsi="Times New Roman" w:cs="Times New Roman"/>
          <w:b/>
          <w:bCs/>
          <w:sz w:val="24"/>
          <w:szCs w:val="24"/>
          <w:lang w:val="bg"/>
        </w:rPr>
        <w:t xml:space="preserve">Автоматично отчитане на измервателните уреди: </w:t>
      </w:r>
      <w:r w:rsidRPr="00B977EC">
        <w:rPr>
          <w:rFonts w:ascii="Times New Roman" w:hAnsi="Times New Roman" w:cs="Times New Roman"/>
          <w:sz w:val="24"/>
          <w:szCs w:val="24"/>
          <w:lang w:val="bg"/>
        </w:rPr>
        <w:t>Интелигентните измервателни уреди автоматично записват консумацията на електроенергия на редовни интервали, обикновено на всеки час. Те също могат да бъдат конфигурирани да записват данни на всеки 15 минути, ако е необходимо. Записаните данни се предават на оператора на мрежата ежедневно, като се осигуряват навременни и точни по</w:t>
      </w:r>
      <w:r w:rsidR="00B977EC">
        <w:rPr>
          <w:rFonts w:ascii="Times New Roman" w:hAnsi="Times New Roman" w:cs="Times New Roman"/>
          <w:sz w:val="24"/>
          <w:szCs w:val="24"/>
          <w:lang w:val="bg"/>
        </w:rPr>
        <w:t>казания на измервателните уреди.</w:t>
      </w:r>
    </w:p>
    <w:p w:rsidR="00B977EC" w:rsidRDefault="00B977EC" w:rsidP="00B977EC">
      <w:pPr>
        <w:pStyle w:val="ListParagraph"/>
        <w:spacing w:line="276" w:lineRule="auto"/>
        <w:jc w:val="both"/>
        <w:rPr>
          <w:rFonts w:ascii="Times New Roman" w:hAnsi="Times New Roman" w:cs="Times New Roman"/>
          <w:sz w:val="24"/>
          <w:szCs w:val="24"/>
          <w:lang w:val="bg"/>
        </w:rPr>
      </w:pPr>
    </w:p>
    <w:p w:rsidR="00B977EC" w:rsidRDefault="007906A8" w:rsidP="00B01311">
      <w:pPr>
        <w:pStyle w:val="ListParagraph"/>
        <w:numPr>
          <w:ilvl w:val="0"/>
          <w:numId w:val="164"/>
        </w:numPr>
        <w:spacing w:line="276" w:lineRule="auto"/>
        <w:jc w:val="both"/>
        <w:rPr>
          <w:rFonts w:ascii="Times New Roman" w:hAnsi="Times New Roman" w:cs="Times New Roman"/>
          <w:sz w:val="24"/>
          <w:szCs w:val="24"/>
          <w:lang w:val="bg"/>
        </w:rPr>
      </w:pPr>
      <w:r w:rsidRPr="00B977EC">
        <w:rPr>
          <w:rFonts w:ascii="Times New Roman" w:hAnsi="Times New Roman" w:cs="Times New Roman"/>
          <w:b/>
          <w:bCs/>
          <w:sz w:val="24"/>
          <w:szCs w:val="24"/>
          <w:lang w:val="bg"/>
        </w:rPr>
        <w:t xml:space="preserve">Комуникационни технологии: </w:t>
      </w:r>
      <w:r w:rsidRPr="00B977EC">
        <w:rPr>
          <w:rFonts w:ascii="Times New Roman" w:hAnsi="Times New Roman" w:cs="Times New Roman"/>
          <w:sz w:val="24"/>
          <w:szCs w:val="24"/>
          <w:lang w:val="bg"/>
        </w:rPr>
        <w:t xml:space="preserve">Много интелигентни измервателни уреди използват GSM (Глобална система за мобилни комуникации) или GPRS (Обща пакетна радиослужба) за предаване на данни. Някои измервателни уреди използват радиочестотни (RF) мрежи, които позволяват на измервателните уреди да комуникират помежду си и да предават данни към централен хъб. PLC (Power Line </w:t>
      </w:r>
      <w:r w:rsidRPr="00B977EC">
        <w:rPr>
          <w:rFonts w:ascii="Times New Roman" w:hAnsi="Times New Roman" w:cs="Times New Roman"/>
          <w:sz w:val="24"/>
          <w:szCs w:val="24"/>
          <w:lang w:val="bg"/>
        </w:rPr>
        <w:lastRenderedPageBreak/>
        <w:t>Communication) използва съществуващите електропроводи за предаване на данни, намалявайки необходимостта от допълнителна комуникационна инфраструктура</w:t>
      </w:r>
    </w:p>
    <w:p w:rsidR="00B977EC" w:rsidRPr="00B977EC" w:rsidRDefault="00B977EC" w:rsidP="00B977EC">
      <w:pPr>
        <w:pStyle w:val="ListParagraph"/>
        <w:rPr>
          <w:lang w:val="bg"/>
        </w:rPr>
      </w:pPr>
    </w:p>
    <w:p w:rsidR="00B977EC" w:rsidRDefault="007906A8" w:rsidP="00B01311">
      <w:pPr>
        <w:pStyle w:val="ListParagraph"/>
        <w:numPr>
          <w:ilvl w:val="0"/>
          <w:numId w:val="164"/>
        </w:numPr>
        <w:spacing w:line="276" w:lineRule="auto"/>
        <w:jc w:val="both"/>
        <w:rPr>
          <w:rFonts w:ascii="Times New Roman" w:hAnsi="Times New Roman" w:cs="Times New Roman"/>
          <w:sz w:val="24"/>
          <w:szCs w:val="24"/>
          <w:lang w:val="bg"/>
        </w:rPr>
      </w:pPr>
      <w:r w:rsidRPr="00B977EC">
        <w:rPr>
          <w:rFonts w:ascii="Times New Roman" w:hAnsi="Times New Roman" w:cs="Times New Roman"/>
          <w:sz w:val="24"/>
          <w:szCs w:val="24"/>
          <w:lang w:val="bg"/>
        </w:rPr>
        <w:t xml:space="preserve">Съхранение и сигурност на </w:t>
      </w:r>
      <w:r w:rsidRPr="00B977EC">
        <w:rPr>
          <w:rFonts w:ascii="Times New Roman" w:hAnsi="Times New Roman" w:cs="Times New Roman"/>
          <w:b/>
          <w:bCs/>
          <w:sz w:val="24"/>
          <w:szCs w:val="24"/>
          <w:lang w:val="bg"/>
        </w:rPr>
        <w:t xml:space="preserve">данните: </w:t>
      </w:r>
      <w:r w:rsidRPr="00B977EC">
        <w:rPr>
          <w:rFonts w:ascii="Times New Roman" w:hAnsi="Times New Roman" w:cs="Times New Roman"/>
          <w:sz w:val="24"/>
          <w:szCs w:val="24"/>
          <w:lang w:val="bg"/>
        </w:rPr>
        <w:t>Данните, предавани от интелигентните измервателни уреди, са криптирани, за да се гарантира сигурността и неприкосновеността на личния живот. Интелигентните измервателни уреди имат локални възможности за съхранение на данни в случай на неизправности в комуникацията. Това гарантира, че няма да бъдат загубени данни.</w:t>
      </w:r>
    </w:p>
    <w:p w:rsidR="00B977EC" w:rsidRPr="00B977EC" w:rsidRDefault="00B977EC" w:rsidP="00B977EC">
      <w:pPr>
        <w:pStyle w:val="ListParagraph"/>
        <w:rPr>
          <w:b/>
          <w:bCs/>
          <w:lang w:val="bg"/>
        </w:rPr>
      </w:pPr>
    </w:p>
    <w:p w:rsidR="00B977EC" w:rsidRPr="00B977EC" w:rsidRDefault="007906A8" w:rsidP="00B01311">
      <w:pPr>
        <w:pStyle w:val="ListParagraph"/>
        <w:numPr>
          <w:ilvl w:val="0"/>
          <w:numId w:val="164"/>
        </w:numPr>
        <w:spacing w:line="276" w:lineRule="auto"/>
        <w:jc w:val="both"/>
        <w:rPr>
          <w:rFonts w:ascii="Times New Roman" w:hAnsi="Times New Roman" w:cs="Times New Roman"/>
          <w:sz w:val="24"/>
          <w:szCs w:val="24"/>
          <w:lang w:val="bg"/>
        </w:rPr>
      </w:pPr>
      <w:r w:rsidRPr="00B977EC">
        <w:rPr>
          <w:rFonts w:ascii="Times New Roman" w:hAnsi="Times New Roman" w:cs="Times New Roman"/>
          <w:b/>
          <w:bCs/>
          <w:sz w:val="24"/>
          <w:szCs w:val="24"/>
          <w:lang w:val="bg"/>
        </w:rPr>
        <w:t xml:space="preserve">Откриване на събития и неизправности: </w:t>
      </w:r>
      <w:r w:rsidRPr="00B977EC">
        <w:rPr>
          <w:rFonts w:ascii="Times New Roman" w:hAnsi="Times New Roman" w:cs="Times New Roman"/>
          <w:sz w:val="24"/>
          <w:szCs w:val="24"/>
          <w:lang w:val="bg"/>
        </w:rPr>
        <w:t>Интелигентните измервателни уреди могат да откриват и докладват прекъсвания на електрозахранването, като помагат на мрежовите оператори да реагират бързо на проблеми. Те наблюдават нивата на напрежение и могат да откриват аномалии, допринасяйки за по-доброто управление на мрежата.</w:t>
      </w:r>
    </w:p>
    <w:p w:rsidR="00B977EC" w:rsidRPr="00B977EC" w:rsidRDefault="00B977EC" w:rsidP="00B977EC">
      <w:pPr>
        <w:pStyle w:val="ListParagraph"/>
        <w:rPr>
          <w:rFonts w:ascii="Times New Roman" w:hAnsi="Times New Roman" w:cs="Times New Roman"/>
          <w:sz w:val="24"/>
          <w:szCs w:val="24"/>
          <w:lang w:val="bg"/>
        </w:rPr>
      </w:pPr>
    </w:p>
    <w:p w:rsidR="007906A8" w:rsidRPr="00B977EC" w:rsidRDefault="007906A8" w:rsidP="00B01311">
      <w:pPr>
        <w:pStyle w:val="ListParagraph"/>
        <w:numPr>
          <w:ilvl w:val="0"/>
          <w:numId w:val="164"/>
        </w:numPr>
        <w:spacing w:line="276" w:lineRule="auto"/>
        <w:jc w:val="both"/>
        <w:rPr>
          <w:rFonts w:ascii="Times New Roman" w:hAnsi="Times New Roman" w:cs="Times New Roman"/>
          <w:sz w:val="24"/>
          <w:szCs w:val="24"/>
          <w:lang w:val="bg"/>
        </w:rPr>
      </w:pPr>
      <w:r w:rsidRPr="00B977EC">
        <w:rPr>
          <w:rFonts w:ascii="Times New Roman" w:hAnsi="Times New Roman" w:cs="Times New Roman"/>
          <w:sz w:val="24"/>
          <w:szCs w:val="24"/>
          <w:lang w:val="bg"/>
        </w:rPr>
        <w:t xml:space="preserve">Съответствие с </w:t>
      </w:r>
      <w:r w:rsidRPr="00B977EC">
        <w:rPr>
          <w:rFonts w:ascii="Times New Roman" w:hAnsi="Times New Roman" w:cs="Times New Roman"/>
          <w:b/>
          <w:bCs/>
          <w:sz w:val="24"/>
          <w:szCs w:val="24"/>
          <w:lang w:val="bg"/>
        </w:rPr>
        <w:t xml:space="preserve">нормативните изисквания: </w:t>
      </w:r>
      <w:r w:rsidRPr="00B977EC">
        <w:rPr>
          <w:rFonts w:ascii="Times New Roman" w:hAnsi="Times New Roman" w:cs="Times New Roman"/>
          <w:sz w:val="24"/>
          <w:szCs w:val="24"/>
          <w:lang w:val="bg"/>
        </w:rPr>
        <w:t>Интелигентните измервателни уреди в Норвегия отговарят на разпоредбите, определени от Норвежката дирекция за водни ресурси и енергия (NVE), като гарантират, че отговарят на националните стандарти за точност и надеждност.</w:t>
      </w:r>
    </w:p>
    <w:p w:rsidR="007906A8" w:rsidRPr="00B977EC" w:rsidRDefault="007906A8" w:rsidP="00B977EC">
      <w:pPr>
        <w:spacing w:line="276" w:lineRule="auto"/>
        <w:jc w:val="both"/>
        <w:rPr>
          <w:rFonts w:ascii="Times New Roman" w:hAnsi="Times New Roman" w:cs="Times New Roman"/>
          <w:sz w:val="24"/>
          <w:szCs w:val="24"/>
          <w:lang w:val="bg"/>
        </w:rPr>
      </w:pPr>
      <w:r w:rsidRPr="00B977EC">
        <w:rPr>
          <w:rFonts w:ascii="Times New Roman" w:hAnsi="Times New Roman" w:cs="Times New Roman"/>
          <w:sz w:val="24"/>
          <w:szCs w:val="24"/>
          <w:lang w:val="bg"/>
        </w:rPr>
        <w:t>По отношение на LEC интелигентното отчитане е от съществено значение за ефективното взаимодействие с мрежата. Данните в реално време от интелигентните измервателни уреди позволяват на операторите на разпределителни системи да наблюдават местните енергийни потоци и да управляват претоварването на мрежата по-ефективно. Това е особено важно, тъй като LEC често включват разпределено производство на енергия от възобновяеми източници, което може да доведе до прекъсвания и колебания в мрежата. Освен това интелигентното отчитане повишава прозрачността и доверието в общностите. Членовете могат да имат достъп до собствените си данни за потреблението и да проверяват точността на сметките за енергия, като насърчават доверието в дейността на общността. Това е особено важно в децентрализираните енергийни системи, където участват множество участници и поддържането на доверие между участниците е от решаващо значение.</w:t>
      </w:r>
    </w:p>
    <w:p w:rsidR="007906A8" w:rsidRPr="002E2E94" w:rsidRDefault="007906A8" w:rsidP="00B977EC">
      <w:pPr>
        <w:spacing w:line="276" w:lineRule="auto"/>
        <w:jc w:val="both"/>
        <w:rPr>
          <w:rFonts w:ascii="Times New Roman" w:hAnsi="Times New Roman" w:cs="Times New Roman"/>
          <w:sz w:val="24"/>
          <w:szCs w:val="24"/>
          <w:lang w:val="bg"/>
        </w:rPr>
      </w:pPr>
      <w:r w:rsidRPr="00B977EC">
        <w:rPr>
          <w:rFonts w:ascii="Times New Roman" w:hAnsi="Times New Roman" w:cs="Times New Roman"/>
          <w:sz w:val="24"/>
          <w:szCs w:val="24"/>
          <w:lang w:val="bg"/>
        </w:rPr>
        <w:t>Интелигентното измерване също така открива възможности за иновативни бизнес модели, които са от значение за LEC. Например схемите за динамично ценообразуване, при които цените на електроенергията варират в зависимост от търсенето и предлагането в реално време, могат да бъдат прилагани по-ефективно с интелигентни измервателни уреди. Това позволява на общностите да стимулират потреблението на енергия в периоди на ниско търсене или високо производство на</w:t>
      </w:r>
      <w:r w:rsidRPr="007906A8">
        <w:rPr>
          <w:lang w:val="bg"/>
        </w:rPr>
        <w:t xml:space="preserve"> енергия </w:t>
      </w:r>
      <w:r w:rsidRPr="002E2E94">
        <w:rPr>
          <w:rFonts w:ascii="Times New Roman" w:hAnsi="Times New Roman" w:cs="Times New Roman"/>
          <w:sz w:val="24"/>
          <w:szCs w:val="24"/>
          <w:lang w:val="bg"/>
        </w:rPr>
        <w:t>от възобновяеми източници, като допълнително оптимизират потреблението на енергия и намаляват разходите.</w:t>
      </w:r>
    </w:p>
    <w:p w:rsidR="007906A8" w:rsidRPr="007906A8" w:rsidRDefault="007906A8" w:rsidP="00B977EC">
      <w:pPr>
        <w:jc w:val="center"/>
        <w:rPr>
          <w:lang w:val="bg"/>
        </w:rPr>
      </w:pPr>
      <w:r w:rsidRPr="007906A8">
        <w:rPr>
          <w:noProof/>
          <w:lang w:val="bg-BG" w:eastAsia="bg-BG"/>
        </w:rPr>
        <w:lastRenderedPageBreak/>
        <w:drawing>
          <wp:inline distT="0" distB="0" distL="0" distR="0" wp14:anchorId="3E35A6AB" wp14:editId="2B47CBA2">
            <wp:extent cx="2324100" cy="2047875"/>
            <wp:effectExtent l="0" t="0" r="0" b="9525"/>
            <wp:docPr id="266" name="Пикутър 266"/>
            <wp:cNvGraphicFramePr/>
            <a:graphic xmlns:a="http://schemas.openxmlformats.org/drawingml/2006/main">
              <a:graphicData uri="http://schemas.openxmlformats.org/drawingml/2006/picture">
                <pic:pic xmlns:pic="http://schemas.openxmlformats.org/drawingml/2006/picture">
                  <pic:nvPicPr>
                    <pic:cNvPr id="266" name="Снимка 266"/>
                    <pic:cNvPicPr/>
                  </pic:nvPicPr>
                  <pic:blipFill>
                    <a:blip r:embed="rId66"/>
                    <a:stretch/>
                  </pic:blipFill>
                  <pic:spPr>
                    <a:xfrm>
                      <a:off x="0" y="0"/>
                      <a:ext cx="2324100" cy="2047875"/>
                    </a:xfrm>
                    <a:prstGeom prst="rect">
                      <a:avLst/>
                    </a:prstGeom>
                  </pic:spPr>
                </pic:pic>
              </a:graphicData>
            </a:graphic>
          </wp:inline>
        </w:drawing>
      </w:r>
    </w:p>
    <w:p w:rsidR="00A53A71" w:rsidRPr="00A53A71" w:rsidRDefault="00A53A71" w:rsidP="00B01311">
      <w:pPr>
        <w:pStyle w:val="Heading1"/>
        <w:numPr>
          <w:ilvl w:val="0"/>
          <w:numId w:val="96"/>
        </w:numPr>
        <w:spacing w:line="276" w:lineRule="auto"/>
        <w:jc w:val="both"/>
        <w:rPr>
          <w:rFonts w:ascii="Times New Roman" w:hAnsi="Times New Roman" w:cs="Times New Roman"/>
          <w:color w:val="24B1C0"/>
          <w:lang w:val="bg"/>
        </w:rPr>
      </w:pPr>
      <w:bookmarkStart w:id="444" w:name="_Toc203141343"/>
      <w:r w:rsidRPr="00A53A71">
        <w:rPr>
          <w:rFonts w:ascii="Times New Roman" w:hAnsi="Times New Roman" w:cs="Times New Roman"/>
          <w:color w:val="24B1C0"/>
          <w:lang w:val="bg"/>
        </w:rPr>
        <w:t>Разработване на пилотен проект</w:t>
      </w:r>
      <w:bookmarkEnd w:id="444"/>
    </w:p>
    <w:p w:rsidR="00A53A71" w:rsidRPr="00A53A71" w:rsidRDefault="00A53A71" w:rsidP="00A53A71">
      <w:pPr>
        <w:rPr>
          <w:lang w:val="bg"/>
        </w:rPr>
      </w:pPr>
    </w:p>
    <w:p w:rsidR="00A53A71" w:rsidRPr="00A53A71" w:rsidRDefault="00A53A71" w:rsidP="00A53A71">
      <w:pPr>
        <w:pStyle w:val="Heading2"/>
        <w:spacing w:line="276" w:lineRule="auto"/>
        <w:jc w:val="both"/>
        <w:rPr>
          <w:rFonts w:ascii="Times New Roman" w:hAnsi="Times New Roman" w:cs="Times New Roman"/>
          <w:color w:val="24B1C0"/>
          <w:sz w:val="30"/>
          <w:szCs w:val="30"/>
          <w:lang w:val="bg"/>
        </w:rPr>
      </w:pPr>
      <w:bookmarkStart w:id="445" w:name="_Toc203141344"/>
      <w:r w:rsidRPr="00A53A71">
        <w:rPr>
          <w:rFonts w:ascii="Times New Roman" w:hAnsi="Times New Roman" w:cs="Times New Roman"/>
          <w:color w:val="24B1C0"/>
          <w:sz w:val="30"/>
          <w:szCs w:val="30"/>
          <w:lang w:val="bg"/>
        </w:rPr>
        <w:t>7.1 Позоваване на най-добри практики от съществуващи пилотни проекти в Норвегия и в чужбина</w:t>
      </w:r>
      <w:bookmarkEnd w:id="445"/>
    </w:p>
    <w:p w:rsidR="00A53A71" w:rsidRPr="00A53A71" w:rsidRDefault="00A53A71" w:rsidP="00A53A71">
      <w:pPr>
        <w:rPr>
          <w:lang w:val="bg"/>
        </w:rPr>
      </w:pPr>
    </w:p>
    <w:p w:rsidR="00A53A71" w:rsidRPr="00A53A71" w:rsidRDefault="00A53A71" w:rsidP="002E2E94">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Тази подглава се отнася до инициативи на ЕО в Норвегия и в чужбина, където, в допълнение към Обединеното кралство, Швейцария и Гърция, Естония се разглежда като контекстуално значим случай със специфични дейности в областта на ЕО и предизвикателства, пред които е изправена.</w:t>
      </w:r>
    </w:p>
    <w:p w:rsidR="00A53A71" w:rsidRPr="00A53A71" w:rsidRDefault="00A53A71" w:rsidP="00A53A71">
      <w:pPr>
        <w:pStyle w:val="Heading3"/>
        <w:spacing w:line="276" w:lineRule="auto"/>
        <w:jc w:val="both"/>
        <w:rPr>
          <w:rFonts w:ascii="Times New Roman" w:hAnsi="Times New Roman" w:cs="Times New Roman"/>
          <w:color w:val="24B1C0"/>
          <w:sz w:val="28"/>
          <w:szCs w:val="28"/>
          <w:lang w:val="bg"/>
        </w:rPr>
      </w:pPr>
      <w:bookmarkStart w:id="446" w:name="_Toc203141345"/>
      <w:r w:rsidRPr="00A53A71">
        <w:rPr>
          <w:rFonts w:ascii="Times New Roman" w:hAnsi="Times New Roman" w:cs="Times New Roman"/>
          <w:color w:val="24B1C0"/>
          <w:sz w:val="28"/>
          <w:szCs w:val="28"/>
          <w:lang w:val="bg"/>
        </w:rPr>
        <w:t>7.1.1 +Cityx</w:t>
      </w:r>
      <w:r>
        <w:rPr>
          <w:rFonts w:ascii="Times New Roman" w:hAnsi="Times New Roman" w:cs="Times New Roman"/>
          <w:color w:val="24B1C0"/>
          <w:sz w:val="28"/>
          <w:szCs w:val="28"/>
          <w:lang w:val="bg"/>
        </w:rPr>
        <w:t xml:space="preserve"> </w:t>
      </w:r>
      <w:r w:rsidRPr="00A53A71">
        <w:rPr>
          <w:rFonts w:ascii="Times New Roman" w:hAnsi="Times New Roman" w:cs="Times New Roman"/>
          <w:color w:val="24B1C0"/>
          <w:sz w:val="28"/>
          <w:szCs w:val="28"/>
          <w:lang w:val="bg"/>
        </w:rPr>
        <w:t>Промяна</w:t>
      </w:r>
      <w:bookmarkEnd w:id="446"/>
    </w:p>
    <w:p w:rsidR="00A53A71" w:rsidRPr="00A53A71" w:rsidRDefault="00A53A71" w:rsidP="00A53A71">
      <w:pPr>
        <w:rPr>
          <w:lang w:val="bg"/>
        </w:rPr>
      </w:pPr>
    </w:p>
    <w:p w:rsidR="007906A8"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Пример за градска енергийна общност в Норвегия е пилотният проект за положителен енергиен район (PED) в +CityxChange (Positive City ExChange)  в град Трондхайм. Финансиран от програмата на Европейския съюз „Хоризонт 2020“, този проект за интелигентен град се изпълнява от 2018 г. до 2023 г. Тя се съсредоточи върху разработването и пилотното въвеждане на положителни енергийни блокове и райони, които са градски райони, генериращи повече енергия, отколкото потребяват. Дългосрочната цел е да се създадат градски екосистеми с нулеви емисии и да се постигне 100% възобновяема енергия в градските региони до 2050 г. Проектът включваше два водещи града: Trondheim (Норвегия) и Limerick (Ирландия), както и пет града последователи: Алба Юлия (Румъния), Писек (Чешка република), Сестао Бери (Испания), Смолян (България), Вору (Естония).</w:t>
      </w:r>
    </w:p>
    <w:p w:rsid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Един от ключовите резултати беше демонстрацията на местен пазар за гъвкавост (LFM) в Trondheim, по-специално в районите Brattøra и Sluppen. Това УУП дава възможност на кварталите да обменят енергиен капацитет и системни услуги. Тя подкрепя търговията с местно производство на енергия, гъвкавостта на потребителите и услугите на операторите на разпределителни системи чрез автоматизирани сделки с 60-минутна резолюция. Пазарното решение включва усъвършенствани алгоритми за търговия с ИИ, системи за реакция на търсенето и подробни прогнози за времето, за да се оптимизира търговията с енергия. Освен това проектът интегрира електронната</w:t>
      </w:r>
      <w:r w:rsidRPr="00A53A71">
        <w:rPr>
          <w:rFonts w:ascii="Times New Roman" w:hAnsi="Times New Roman" w:cs="Times New Roman"/>
          <w:sz w:val="24"/>
          <w:szCs w:val="24"/>
          <w:lang w:val="bg"/>
        </w:rPr>
        <w:softHyphen/>
        <w:t xml:space="preserve">мобилност в PED, като използва технологиите Vehicle to Grid (V2G) и Vehicle to Building (V2B) за зареждане и разреждане на акумулаторни батерии за електрически автомобили. Тези технологии позволяват на ЕПС </w:t>
      </w:r>
      <w:r w:rsidRPr="00A53A71">
        <w:rPr>
          <w:rFonts w:ascii="Times New Roman" w:hAnsi="Times New Roman" w:cs="Times New Roman"/>
          <w:sz w:val="24"/>
          <w:szCs w:val="24"/>
          <w:lang w:val="bg"/>
        </w:rPr>
        <w:lastRenderedPageBreak/>
        <w:t>да осигуряват допълнително съхранение и поддръжка на батерията по време на напрежение в мрежата или скокове в търсенето.</w:t>
      </w:r>
    </w:p>
    <w:p w:rsidR="00A53A71" w:rsidRP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Проектът подчерта значението на разказването на истории и емоционалната връзка при ангажирането на хората с инициативи на PED. Чрез създаването на свързани послания проектът помогна на местните заинтересовани страни да разберат ползите и дългосрочното въздействие на инвестирането в такива инициативи, като проправи пътя за бъдещи проекти и възможности за финансиране. Създаването на история около създаването на PED може да помогне на хората да се идентифицират и да разберат какво се случва.</w:t>
      </w:r>
    </w:p>
    <w:p w:rsidR="00A53A71" w:rsidRPr="00A53A71" w:rsidRDefault="00A53A71" w:rsidP="00A53A71">
      <w:pPr>
        <w:pStyle w:val="Heading3"/>
        <w:spacing w:line="276" w:lineRule="auto"/>
        <w:jc w:val="both"/>
        <w:rPr>
          <w:rFonts w:ascii="Times New Roman" w:hAnsi="Times New Roman" w:cs="Times New Roman"/>
          <w:color w:val="24B1C0"/>
          <w:sz w:val="28"/>
          <w:szCs w:val="28"/>
          <w:u w:val="single"/>
          <w:lang w:val="bg"/>
        </w:rPr>
      </w:pPr>
      <w:bookmarkStart w:id="447" w:name="_Toc203141346"/>
      <w:r w:rsidRPr="00A53A71">
        <w:rPr>
          <w:rFonts w:ascii="Times New Roman" w:hAnsi="Times New Roman" w:cs="Times New Roman"/>
          <w:color w:val="24B1C0"/>
          <w:sz w:val="28"/>
          <w:szCs w:val="28"/>
          <w:lang w:val="bg"/>
        </w:rPr>
        <w:t>7.1.2  Интелигентна Сеня</w:t>
      </w:r>
      <w:r>
        <w:rPr>
          <w:rFonts w:ascii="Times New Roman" w:hAnsi="Times New Roman" w:cs="Times New Roman"/>
          <w:color w:val="24B1C0"/>
          <w:sz w:val="28"/>
          <w:szCs w:val="28"/>
          <w:lang w:val="bg"/>
        </w:rPr>
        <w:t xml:space="preserve"> </w:t>
      </w:r>
      <w:hyperlink w:anchor="bookmark158" w:tooltip="Current Document">
        <w:r w:rsidRPr="00A53A71">
          <w:rPr>
            <w:rStyle w:val="Hyperlink"/>
            <w:rFonts w:ascii="Times New Roman" w:hAnsi="Times New Roman" w:cs="Times New Roman"/>
            <w:color w:val="24B1C0"/>
            <w:sz w:val="28"/>
            <w:szCs w:val="28"/>
            <w:lang w:val="bg"/>
          </w:rPr>
          <w:footnoteReference w:id="139"/>
        </w:r>
        <w:bookmarkEnd w:id="447"/>
      </w:hyperlink>
    </w:p>
    <w:p w:rsidR="00A53A71" w:rsidRPr="00A53A71" w:rsidRDefault="00A53A71" w:rsidP="00A53A71">
      <w:pPr>
        <w:pStyle w:val="Heading3"/>
        <w:spacing w:line="276" w:lineRule="auto"/>
        <w:jc w:val="both"/>
        <w:rPr>
          <w:rFonts w:ascii="Times New Roman" w:hAnsi="Times New Roman" w:cs="Times New Roman"/>
          <w:color w:val="24B1C0"/>
          <w:sz w:val="28"/>
          <w:szCs w:val="28"/>
          <w:lang w:val="bg"/>
        </w:rPr>
      </w:pPr>
    </w:p>
    <w:p w:rsidR="00A53A71" w:rsidRP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LEC са особено полезни в отдалечените райони, като например островите. В Норвегия тези отдалечени острови често са изправени пред тежки метеорологични условия, което води до прекъсване на електрозахранването. LEC могат да осигурят сигурни енергийни доставки, понякога работещи изцяло извън мрежата, особено когато връзките към основната мрежа са ограничени или често прекъсвани.</w:t>
      </w:r>
    </w:p>
    <w:p w:rsidR="00A53A71" w:rsidRP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Забележителен пример за проект на норвежката енергийна общност в селски район е Smart Senja — иновативен проект, стартиран през 2019 г. с цел да се отговори на нарастващото търсене на електроенергия от риболовната промишленост на острова, като същевременно се поддържат ниски разходи за енергия. Този проект е съвместно усилие, включващо жители, както и национални и международни партньори. Тя е собственост на DSO Arva AS и получава финансова подкрепа от Enova, норвежка правителствена агенция, насърчаваща екологосъобразното производство и потребление на енергия. Очаква се проектът да продължи до 2025 г.</w:t>
      </w:r>
    </w:p>
    <w:p w:rsidR="00A53A71" w:rsidRP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Като островна общност в края на електрическата мрежа, Senja е изправена пред проблеми с енергийните доставки и променливостта на възобновяемите енергийни източници. Едно от основните предизвикателства е променливостта на възобновяемите енергийни източници в сравнение с конвенционалните. Водноелектрическата енергия се влияе от сезонните колебания на валежите, докато слънчевата и вятърната енергия се влияят от мигновените промени на времето. Освен това потреблението на енергия се колебае през целия ден, със значителни пикове и спадове.</w:t>
      </w:r>
    </w:p>
    <w:p w:rsidR="00A53A71" w:rsidRDefault="00A53A71"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Ключовите решения, внедрени от Smart Senja, включват инсталирането на интелигентни системи за управление на енергията в домовете и бизнеса, за да се разпредели по-равномерно потреблението на електроенергия между деня и нощта. Проектът включва и големи литиеви батерии на две места, за да се балансират колебанията в потреблението на електроенергия. Тези решения потенциално ще намалят необходимостта от развитие на инфраструктурата, което ще доведе до икономии от мрежовите тарифи и сметките за електроенергия както за предприя</w:t>
      </w:r>
      <w:r w:rsidR="003819B1">
        <w:rPr>
          <w:rFonts w:ascii="Times New Roman" w:hAnsi="Times New Roman" w:cs="Times New Roman"/>
          <w:sz w:val="24"/>
          <w:szCs w:val="24"/>
          <w:lang w:val="bg"/>
        </w:rPr>
        <w:t>тията, така и за домакинствата.</w:t>
      </w:r>
    </w:p>
    <w:p w:rsidR="003819B1" w:rsidRDefault="003819B1" w:rsidP="00A53A71">
      <w:pPr>
        <w:spacing w:line="276" w:lineRule="auto"/>
        <w:jc w:val="both"/>
        <w:rPr>
          <w:rFonts w:ascii="Times New Roman" w:hAnsi="Times New Roman" w:cs="Times New Roman"/>
          <w:sz w:val="24"/>
          <w:szCs w:val="24"/>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 xml:space="preserve">Проектът Smart Senja демонстрира потенциала на енергийните общности за справяне с енергийните предизвикателства в отдалечени места. В него обаче се подчертава и </w:t>
      </w:r>
      <w:r w:rsidRPr="00955796">
        <w:rPr>
          <w:rFonts w:ascii="Times New Roman" w:hAnsi="Times New Roman" w:cs="Times New Roman"/>
          <w:sz w:val="24"/>
          <w:szCs w:val="24"/>
          <w:lang w:val="bg"/>
        </w:rPr>
        <w:lastRenderedPageBreak/>
        <w:t>необходимостта от по-благоприятна регулаторна рамка в Норвегия, за да се даде възможност за по-широко приемане на тези иновативни енергийни модели, които съчетават интелигентни системи за управление на енергията, акумулиране на енергия и местно производство на енергия от възобновяеми източници.</w:t>
      </w:r>
    </w:p>
    <w:p w:rsidR="007906A8" w:rsidRDefault="00955796" w:rsidP="00955796">
      <w:pPr>
        <w:pStyle w:val="Heading3"/>
        <w:spacing w:line="276" w:lineRule="auto"/>
        <w:jc w:val="both"/>
        <w:rPr>
          <w:rFonts w:ascii="Times New Roman" w:hAnsi="Times New Roman" w:cs="Times New Roman"/>
          <w:color w:val="24B1C0"/>
          <w:sz w:val="28"/>
          <w:szCs w:val="28"/>
          <w:lang w:val="bg"/>
        </w:rPr>
      </w:pPr>
      <w:bookmarkStart w:id="449" w:name="bookmark561"/>
      <w:bookmarkStart w:id="450" w:name="bookmark560"/>
      <w:bookmarkStart w:id="451" w:name="_Toc203141347"/>
      <w:r w:rsidRPr="00955796">
        <w:rPr>
          <w:rFonts w:ascii="Times New Roman" w:hAnsi="Times New Roman" w:cs="Times New Roman"/>
          <w:color w:val="24B1C0"/>
          <w:sz w:val="28"/>
          <w:szCs w:val="28"/>
          <w:lang w:val="bg"/>
        </w:rPr>
        <w:t xml:space="preserve">7.1.3 </w:t>
      </w:r>
      <w:r w:rsidR="007906A8" w:rsidRPr="00955796">
        <w:rPr>
          <w:rFonts w:ascii="Times New Roman" w:hAnsi="Times New Roman" w:cs="Times New Roman"/>
          <w:color w:val="24B1C0"/>
          <w:sz w:val="28"/>
          <w:szCs w:val="28"/>
          <w:lang w:val="bg"/>
        </w:rPr>
        <w:t>Примери за енергийна общност от Обединеното кралство, Швейцария и Гърция</w:t>
      </w:r>
      <w:bookmarkEnd w:id="449"/>
      <w:bookmarkEnd w:id="450"/>
      <w:bookmarkEnd w:id="451"/>
    </w:p>
    <w:p w:rsidR="00955796" w:rsidRPr="00955796" w:rsidRDefault="00955796" w:rsidP="00955796">
      <w:pPr>
        <w:rPr>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Описани са съответните примери, като се вземат предвид регулаторната среда, технологиите и моделите на стопанска дейност.</w:t>
      </w:r>
    </w:p>
    <w:p w:rsidR="00955796" w:rsidRPr="007906A8" w:rsidRDefault="00955796" w:rsidP="007906A8">
      <w:pPr>
        <w:rPr>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Oxfordshire's Low Carbon Hub (Великобритания)</w:t>
      </w:r>
      <w:r w:rsidRPr="00955796">
        <w:rPr>
          <w:rFonts w:ascii="Times New Roman" w:hAnsi="Times New Roman" w:cs="Times New Roman"/>
          <w:b/>
          <w:bCs/>
          <w:sz w:val="24"/>
          <w:szCs w:val="24"/>
          <w:vertAlign w:val="superscript"/>
          <w:lang w:val="bg"/>
        </w:rPr>
        <w:t>172</w:t>
      </w:r>
    </w:p>
    <w:p w:rsidR="00955796" w:rsidRDefault="007906A8" w:rsidP="00B01311">
      <w:pPr>
        <w:pStyle w:val="ListParagraph"/>
        <w:numPr>
          <w:ilvl w:val="0"/>
          <w:numId w:val="163"/>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Регулаторна среда:</w:t>
      </w:r>
      <w:r w:rsidRPr="00955796">
        <w:rPr>
          <w:rFonts w:ascii="Times New Roman" w:hAnsi="Times New Roman" w:cs="Times New Roman"/>
          <w:sz w:val="24"/>
          <w:szCs w:val="24"/>
          <w:lang w:val="bg"/>
        </w:rPr>
        <w:t xml:space="preserve"> Създаден през 2011 г., Центърът за нисковъглеродна енергия работи в рамките на регулаторната рамка на Обединеното кралство, която еволюира в подкрепа на енергийните проекти на общността, въпреки предизвикателства като намалените правителствени стимули през последните години.</w:t>
      </w:r>
    </w:p>
    <w:p w:rsidR="00955796" w:rsidRDefault="00955796" w:rsidP="00955796">
      <w:pPr>
        <w:pStyle w:val="ListParagraph"/>
        <w:spacing w:line="276" w:lineRule="auto"/>
        <w:jc w:val="both"/>
        <w:rPr>
          <w:rFonts w:ascii="Times New Roman" w:hAnsi="Times New Roman" w:cs="Times New Roman"/>
          <w:sz w:val="24"/>
          <w:szCs w:val="24"/>
          <w:lang w:val="bg"/>
        </w:rPr>
      </w:pPr>
    </w:p>
    <w:p w:rsidR="00955796" w:rsidRDefault="007906A8" w:rsidP="00B01311">
      <w:pPr>
        <w:pStyle w:val="ListParagraph"/>
        <w:numPr>
          <w:ilvl w:val="0"/>
          <w:numId w:val="163"/>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Технологични спецификации:</w:t>
      </w:r>
      <w:r w:rsidRPr="00955796">
        <w:rPr>
          <w:rFonts w:ascii="Times New Roman" w:hAnsi="Times New Roman" w:cs="Times New Roman"/>
          <w:sz w:val="24"/>
          <w:szCs w:val="24"/>
          <w:lang w:val="bg"/>
        </w:rPr>
        <w:t xml:space="preserve"> Центърът разполага с 55 инсталации за енергия от възобновяеми източници, включително два водноелектрически язовира на река Темза и най-големия в Обединеното кралство слънчев парк, собственост на общността, Ray Valley Solar, който генерира 19,5 GWh годишно — достатъчно за захранване на над 6000 жилища.</w:t>
      </w:r>
    </w:p>
    <w:p w:rsidR="00955796" w:rsidRPr="00955796" w:rsidRDefault="00955796" w:rsidP="00955796">
      <w:pPr>
        <w:pStyle w:val="ListParagraph"/>
        <w:rPr>
          <w:rFonts w:ascii="Times New Roman" w:hAnsi="Times New Roman" w:cs="Times New Roman"/>
          <w:b/>
          <w:bCs/>
          <w:sz w:val="24"/>
          <w:szCs w:val="24"/>
          <w:lang w:val="bg"/>
        </w:rPr>
      </w:pPr>
    </w:p>
    <w:p w:rsidR="007906A8" w:rsidRPr="00955796" w:rsidRDefault="007906A8" w:rsidP="00B01311">
      <w:pPr>
        <w:pStyle w:val="ListParagraph"/>
        <w:numPr>
          <w:ilvl w:val="0"/>
          <w:numId w:val="163"/>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Приемане от потребителите и бизнес модели:</w:t>
      </w:r>
      <w:r w:rsidRPr="00955796">
        <w:rPr>
          <w:rFonts w:ascii="Times New Roman" w:hAnsi="Times New Roman" w:cs="Times New Roman"/>
          <w:sz w:val="24"/>
          <w:szCs w:val="24"/>
          <w:lang w:val="bg"/>
        </w:rPr>
        <w:t xml:space="preserve"> С 1773 членове Центърът реинвестира печалбите от продажбите на електроенергия в проекти на общността, като например подобряване на изолацията в училищата. Този модел не само намалява потреблението на енергия, но и насърчава участието и приемането от страна на общността.</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Quartierstrom project in Walenstadt (Швейцария)</w:t>
      </w:r>
      <w:r w:rsidRPr="00955796">
        <w:rPr>
          <w:rFonts w:ascii="Times New Roman" w:hAnsi="Times New Roman" w:cs="Times New Roman"/>
          <w:b/>
          <w:bCs/>
          <w:sz w:val="24"/>
          <w:szCs w:val="24"/>
          <w:vertAlign w:val="superscript"/>
          <w:lang w:val="bg"/>
        </w:rPr>
        <w:t>173</w:t>
      </w:r>
    </w:p>
    <w:p w:rsidR="00955796" w:rsidRDefault="007906A8" w:rsidP="00B01311">
      <w:pPr>
        <w:pStyle w:val="ListParagraph"/>
        <w:numPr>
          <w:ilvl w:val="0"/>
          <w:numId w:val="165"/>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Регулаторна среда:</w:t>
      </w:r>
      <w:r w:rsidRPr="00955796">
        <w:rPr>
          <w:rFonts w:ascii="Times New Roman" w:hAnsi="Times New Roman" w:cs="Times New Roman"/>
          <w:sz w:val="24"/>
          <w:szCs w:val="24"/>
          <w:lang w:val="bg"/>
        </w:rPr>
        <w:t xml:space="preserve"> Този пилотен проект работи съгласно регулаторната рамка на Швейцария, като проучва партньорската търговия с енерги</w:t>
      </w:r>
      <w:r w:rsidR="00955796">
        <w:rPr>
          <w:rFonts w:ascii="Times New Roman" w:hAnsi="Times New Roman" w:cs="Times New Roman"/>
          <w:sz w:val="24"/>
          <w:szCs w:val="24"/>
          <w:lang w:val="bg"/>
        </w:rPr>
        <w:t>я в рамките на местната общност.</w:t>
      </w:r>
    </w:p>
    <w:p w:rsidR="00955796" w:rsidRDefault="00955796" w:rsidP="00955796">
      <w:pPr>
        <w:pStyle w:val="ListParagraph"/>
        <w:spacing w:line="276" w:lineRule="auto"/>
        <w:jc w:val="both"/>
        <w:rPr>
          <w:rFonts w:ascii="Times New Roman" w:hAnsi="Times New Roman" w:cs="Times New Roman"/>
          <w:sz w:val="24"/>
          <w:szCs w:val="24"/>
          <w:lang w:val="bg"/>
        </w:rPr>
      </w:pPr>
    </w:p>
    <w:p w:rsidR="00955796" w:rsidRDefault="007906A8" w:rsidP="00B01311">
      <w:pPr>
        <w:pStyle w:val="ListParagraph"/>
        <w:numPr>
          <w:ilvl w:val="0"/>
          <w:numId w:val="165"/>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Технологични спецификации:</w:t>
      </w:r>
      <w:r w:rsidRPr="00955796">
        <w:rPr>
          <w:rFonts w:ascii="Times New Roman" w:hAnsi="Times New Roman" w:cs="Times New Roman"/>
          <w:sz w:val="24"/>
          <w:szCs w:val="24"/>
          <w:lang w:val="bg"/>
        </w:rPr>
        <w:t xml:space="preserve"> Проектът включва 37 домакинства и използва блокчейн система за управление на енергийните транзакции между потребители и произвеждащи потребители. Участниците могат да определят цени за закупуване и продажба на местно произведена слънчева енергия, като насърчават местното балансиране.</w:t>
      </w:r>
    </w:p>
    <w:p w:rsidR="00955796" w:rsidRPr="00955796" w:rsidRDefault="00955796" w:rsidP="00955796">
      <w:pPr>
        <w:pStyle w:val="ListParagraph"/>
        <w:rPr>
          <w:rFonts w:ascii="Times New Roman" w:hAnsi="Times New Roman" w:cs="Times New Roman"/>
          <w:b/>
          <w:bCs/>
          <w:sz w:val="24"/>
          <w:szCs w:val="24"/>
          <w:lang w:val="bg"/>
        </w:rPr>
      </w:pPr>
    </w:p>
    <w:p w:rsidR="007906A8" w:rsidRDefault="007906A8" w:rsidP="00B01311">
      <w:pPr>
        <w:pStyle w:val="ListParagraph"/>
        <w:numPr>
          <w:ilvl w:val="0"/>
          <w:numId w:val="165"/>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Приемане от потребителите и бизнес модели:</w:t>
      </w:r>
      <w:r w:rsidRPr="00955796">
        <w:rPr>
          <w:rFonts w:ascii="Times New Roman" w:hAnsi="Times New Roman" w:cs="Times New Roman"/>
          <w:sz w:val="24"/>
          <w:szCs w:val="24"/>
          <w:lang w:val="bg"/>
        </w:rPr>
        <w:t xml:space="preserve"> Като дава възможност за преки енергийни сделки без посредници, проектът дава възможност на участниците да влияят върху своите разходи за енергия, като повишава приемането от страна на потребителите и насърчава ориентиран към общността бизнес модел.</w:t>
      </w:r>
    </w:p>
    <w:p w:rsidR="00955796" w:rsidRPr="00955796" w:rsidRDefault="00955796" w:rsidP="00955796">
      <w:pPr>
        <w:pStyle w:val="ListParagraph"/>
        <w:rPr>
          <w:rFonts w:ascii="Times New Roman" w:hAnsi="Times New Roman" w:cs="Times New Roman"/>
          <w:sz w:val="24"/>
          <w:szCs w:val="24"/>
          <w:lang w:val="bg"/>
        </w:rPr>
      </w:pPr>
    </w:p>
    <w:p w:rsidR="00955796" w:rsidRPr="00955796" w:rsidRDefault="00955796" w:rsidP="00955796">
      <w:pPr>
        <w:pStyle w:val="ListParagraph"/>
        <w:spacing w:line="276" w:lineRule="auto"/>
        <w:jc w:val="both"/>
        <w:rPr>
          <w:rFonts w:ascii="Times New Roman" w:hAnsi="Times New Roman" w:cs="Times New Roman"/>
          <w:sz w:val="24"/>
          <w:szCs w:val="24"/>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Студентски жилища Общност за възобновяема енергия (Гърция)</w:t>
      </w:r>
      <w:r w:rsidRPr="00955796">
        <w:rPr>
          <w:rFonts w:ascii="Times New Roman" w:hAnsi="Times New Roman" w:cs="Times New Roman"/>
          <w:b/>
          <w:bCs/>
          <w:sz w:val="24"/>
          <w:szCs w:val="24"/>
          <w:vertAlign w:val="superscript"/>
          <w:lang w:val="bg"/>
        </w:rPr>
        <w:t>174</w:t>
      </w:r>
    </w:p>
    <w:p w:rsidR="00955796" w:rsidRDefault="007906A8" w:rsidP="00B01311">
      <w:pPr>
        <w:pStyle w:val="ListParagraph"/>
        <w:numPr>
          <w:ilvl w:val="0"/>
          <w:numId w:val="166"/>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Регулаторна среда:</w:t>
      </w:r>
      <w:r w:rsidRPr="00955796">
        <w:rPr>
          <w:rFonts w:ascii="Times New Roman" w:hAnsi="Times New Roman" w:cs="Times New Roman"/>
          <w:sz w:val="24"/>
          <w:szCs w:val="24"/>
          <w:lang w:val="bg"/>
        </w:rPr>
        <w:t xml:space="preserve"> Със Закон 4513/2018 на Гърция беше създадена рамка за енергийните общности, с която се насърчават принципите на социалната и солидарната икономика. Това законодателство позволява на физически лица, юридически лица и местни органи да участват в енергийни инициативи.</w:t>
      </w:r>
    </w:p>
    <w:p w:rsidR="00955796" w:rsidRDefault="00955796" w:rsidP="00955796">
      <w:pPr>
        <w:pStyle w:val="ListParagraph"/>
        <w:spacing w:line="276" w:lineRule="auto"/>
        <w:jc w:val="both"/>
        <w:rPr>
          <w:rFonts w:ascii="Times New Roman" w:hAnsi="Times New Roman" w:cs="Times New Roman"/>
          <w:sz w:val="24"/>
          <w:szCs w:val="24"/>
          <w:lang w:val="bg"/>
        </w:rPr>
      </w:pPr>
    </w:p>
    <w:p w:rsidR="00955796" w:rsidRDefault="007906A8" w:rsidP="00B01311">
      <w:pPr>
        <w:pStyle w:val="ListParagraph"/>
        <w:numPr>
          <w:ilvl w:val="0"/>
          <w:numId w:val="166"/>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Технологични спецификации:</w:t>
      </w:r>
      <w:r w:rsidRPr="00955796">
        <w:rPr>
          <w:rFonts w:ascii="Times New Roman" w:hAnsi="Times New Roman" w:cs="Times New Roman"/>
          <w:sz w:val="24"/>
          <w:szCs w:val="24"/>
          <w:lang w:val="bg"/>
        </w:rPr>
        <w:t xml:space="preserve"> Стартира пилотен проект в студентски жилищен комплекс с цел изграждане на общност за възобновяема енергия. Проектът предложи инсталирането на фотоволтаични (PV) панели с капацитет, съобразен с енергийните нужди на жилищните единици. Освен това се счита, че системите за акумулиране на енергия оптимизират собственото потребление и управляват върховото потребление.</w:t>
      </w:r>
    </w:p>
    <w:p w:rsidR="00955796" w:rsidRPr="00955796" w:rsidRDefault="00955796" w:rsidP="00955796">
      <w:pPr>
        <w:pStyle w:val="ListParagraph"/>
        <w:rPr>
          <w:rFonts w:ascii="Times New Roman" w:hAnsi="Times New Roman" w:cs="Times New Roman"/>
          <w:b/>
          <w:bCs/>
          <w:sz w:val="24"/>
          <w:szCs w:val="24"/>
          <w:lang w:val="bg"/>
        </w:rPr>
      </w:pPr>
    </w:p>
    <w:p w:rsidR="007906A8" w:rsidRPr="003819B1" w:rsidRDefault="007906A8" w:rsidP="00B01311">
      <w:pPr>
        <w:pStyle w:val="ListParagraph"/>
        <w:numPr>
          <w:ilvl w:val="0"/>
          <w:numId w:val="166"/>
        </w:num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Приемане от потребителите и бизнес модели:</w:t>
      </w:r>
      <w:r w:rsidRPr="00955796">
        <w:rPr>
          <w:rFonts w:ascii="Times New Roman" w:hAnsi="Times New Roman" w:cs="Times New Roman"/>
          <w:sz w:val="24"/>
          <w:szCs w:val="24"/>
          <w:lang w:val="bg"/>
        </w:rPr>
        <w:t xml:space="preserve"> Проектът акцентира върху активното участие на студентите, насърчавайки чувството за собственост и отговорност към потреблението на енергия. За повишаване на ангажираността на потребителите бяха използвани образователни семинари и процеси на вземане на решения с широко участие. Бизнес моделът беше съсредоточен върху колективните инвестиции и споделените ползи, намаляването на разходите за енергия за участниците и насърчаването на устойчивостта</w:t>
      </w:r>
      <w:r w:rsidRPr="00955796">
        <w:rPr>
          <w:lang w:val="bg"/>
        </w:rPr>
        <w:t>.</w:t>
      </w:r>
    </w:p>
    <w:p w:rsidR="003819B1" w:rsidRPr="003819B1" w:rsidRDefault="003819B1" w:rsidP="003819B1">
      <w:pPr>
        <w:pStyle w:val="ListParagraph"/>
        <w:rPr>
          <w:rFonts w:ascii="Times New Roman" w:hAnsi="Times New Roman" w:cs="Times New Roman"/>
          <w:sz w:val="24"/>
          <w:szCs w:val="24"/>
          <w:lang w:val="bg"/>
        </w:rPr>
      </w:pPr>
    </w:p>
    <w:p w:rsidR="003819B1" w:rsidRPr="00955796" w:rsidRDefault="003819B1" w:rsidP="00E35D0D">
      <w:pPr>
        <w:pStyle w:val="ListParagraph"/>
        <w:spacing w:line="276" w:lineRule="auto"/>
        <w:jc w:val="both"/>
        <w:rPr>
          <w:rFonts w:ascii="Times New Roman" w:hAnsi="Times New Roman" w:cs="Times New Roman"/>
          <w:sz w:val="24"/>
          <w:szCs w:val="24"/>
          <w:lang w:val="bg"/>
        </w:rPr>
      </w:pPr>
    </w:p>
    <w:p w:rsidR="007906A8" w:rsidRDefault="00955796" w:rsidP="00955796">
      <w:pPr>
        <w:pStyle w:val="Heading3"/>
        <w:spacing w:line="276" w:lineRule="auto"/>
        <w:jc w:val="both"/>
        <w:rPr>
          <w:rFonts w:ascii="Times New Roman" w:hAnsi="Times New Roman" w:cs="Times New Roman"/>
          <w:color w:val="24B1C0"/>
          <w:sz w:val="28"/>
          <w:szCs w:val="28"/>
          <w:lang w:val="bg"/>
        </w:rPr>
      </w:pPr>
      <w:bookmarkStart w:id="452" w:name="bookmark564"/>
      <w:bookmarkStart w:id="453" w:name="bookmark563"/>
      <w:bookmarkStart w:id="454" w:name="_Toc203141348"/>
      <w:r>
        <w:rPr>
          <w:rFonts w:ascii="Times New Roman" w:hAnsi="Times New Roman" w:cs="Times New Roman"/>
          <w:color w:val="24B1C0"/>
          <w:sz w:val="28"/>
          <w:szCs w:val="28"/>
          <w:lang w:val="bg"/>
        </w:rPr>
        <w:t xml:space="preserve">7.1.4 </w:t>
      </w:r>
      <w:r w:rsidR="007906A8" w:rsidRPr="00955796">
        <w:rPr>
          <w:rFonts w:ascii="Times New Roman" w:hAnsi="Times New Roman" w:cs="Times New Roman"/>
          <w:color w:val="24B1C0"/>
          <w:sz w:val="28"/>
          <w:szCs w:val="28"/>
          <w:lang w:val="bg"/>
        </w:rPr>
        <w:t>Позоваване на развитието на ЕО в Естония</w:t>
      </w:r>
      <w:bookmarkEnd w:id="452"/>
      <w:bookmarkEnd w:id="453"/>
      <w:bookmarkEnd w:id="454"/>
    </w:p>
    <w:p w:rsidR="00955796" w:rsidRPr="00955796" w:rsidRDefault="00955796" w:rsidP="00955796">
      <w:pPr>
        <w:rPr>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За Естония беше проведено проучване, наподобяващо амбицията на този проект,</w:t>
      </w:r>
      <w:hyperlink w:anchor="bookmark159" w:tooltip="Current Document">
        <w:r w:rsidRPr="002E2E94">
          <w:rPr>
            <w:rStyle w:val="Hyperlink"/>
            <w:rFonts w:ascii="Times New Roman" w:hAnsi="Times New Roman" w:cs="Times New Roman"/>
            <w:sz w:val="24"/>
            <w:szCs w:val="24"/>
            <w:vertAlign w:val="superscript"/>
            <w:lang w:val="bg"/>
          </w:rPr>
          <w:footnoteReference w:id="140"/>
        </w:r>
      </w:hyperlink>
      <w:r w:rsidRPr="00955796">
        <w:rPr>
          <w:rFonts w:ascii="Times New Roman" w:hAnsi="Times New Roman" w:cs="Times New Roman"/>
          <w:sz w:val="24"/>
          <w:szCs w:val="24"/>
          <w:lang w:val="bg"/>
        </w:rPr>
        <w:t xml:space="preserve"> в което се анализират енергийните общности в Естония по отношение на регулаторната среда, технологичните спецификации и приемането от страна на потребителите/бизнес моделите. Основните изводи могат да бъдат обобщени като:</w:t>
      </w:r>
    </w:p>
    <w:p w:rsidR="00A53A71" w:rsidRDefault="007906A8" w:rsidP="00B01311">
      <w:pPr>
        <w:pStyle w:val="ListParagraph"/>
        <w:numPr>
          <w:ilvl w:val="0"/>
          <w:numId w:val="167"/>
        </w:num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Съществуват правни рамки, но те се нуждаят от изясняване, особено по отношение на правилата за споделяне на енергия и участието на общините.</w:t>
      </w:r>
    </w:p>
    <w:p w:rsidR="00A53A71" w:rsidRDefault="007906A8" w:rsidP="00B01311">
      <w:pPr>
        <w:pStyle w:val="ListParagraph"/>
        <w:numPr>
          <w:ilvl w:val="0"/>
          <w:numId w:val="167"/>
        </w:num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Технологичното внедряване е ограничено от ограниченията на мрежата, малките размери на системата и слабото възприемане на акумулирането на енергия от батерии.</w:t>
      </w:r>
    </w:p>
    <w:p w:rsidR="00955796" w:rsidRPr="00A53A71" w:rsidRDefault="007906A8" w:rsidP="00B01311">
      <w:pPr>
        <w:pStyle w:val="ListParagraph"/>
        <w:numPr>
          <w:ilvl w:val="0"/>
          <w:numId w:val="167"/>
        </w:num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Финансовите и регулаторните пречки обезкуражават участието на потребителите въпреки силния общински интерес.</w:t>
      </w:r>
    </w:p>
    <w:p w:rsidR="00A53A71" w:rsidRDefault="00A53A71" w:rsidP="00A53A71">
      <w:pPr>
        <w:spacing w:line="276" w:lineRule="auto"/>
        <w:jc w:val="both"/>
        <w:rPr>
          <w:rFonts w:ascii="Times New Roman" w:hAnsi="Times New Roman" w:cs="Times New Roman"/>
          <w:sz w:val="24"/>
          <w:szCs w:val="24"/>
          <w:lang w:val="bg"/>
        </w:rPr>
      </w:pPr>
    </w:p>
    <w:p w:rsidR="007906A8" w:rsidRPr="00A53A71" w:rsidRDefault="007906A8" w:rsidP="00A53A71">
      <w:pPr>
        <w:spacing w:line="276" w:lineRule="auto"/>
        <w:jc w:val="both"/>
        <w:rPr>
          <w:rFonts w:ascii="Times New Roman" w:hAnsi="Times New Roman" w:cs="Times New Roman"/>
          <w:sz w:val="24"/>
          <w:szCs w:val="24"/>
          <w:lang w:val="bg"/>
        </w:rPr>
      </w:pPr>
      <w:r w:rsidRPr="00A53A71">
        <w:rPr>
          <w:rFonts w:ascii="Times New Roman" w:hAnsi="Times New Roman" w:cs="Times New Roman"/>
          <w:sz w:val="24"/>
          <w:szCs w:val="24"/>
          <w:lang w:val="bg"/>
        </w:rPr>
        <w:t>Бъдещият успех зависи от по-добре дефинирани бизнес модели и по-силна правителствена подкрепа за местни енергийни проекти.</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lastRenderedPageBreak/>
        <w:t>По-долу са представени някои повече подробности от естонското проучване, за което е установено, че е от значение за настоящия проект:</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 xml:space="preserve">Регулаторна среда: </w:t>
      </w:r>
      <w:r w:rsidRPr="00955796">
        <w:rPr>
          <w:rFonts w:ascii="Times New Roman" w:hAnsi="Times New Roman" w:cs="Times New Roman"/>
          <w:sz w:val="24"/>
          <w:szCs w:val="24"/>
          <w:lang w:val="bg"/>
        </w:rPr>
        <w:t>Естония транспонира директивите от пакета на ЕС за чиста енергия (RED II и IEMD) в националното си законодателство чрез Закона за организацията на енергийния сектор и Закона за пазара на електроенергия (2022 г.). Тези закони признават RECs и CECs на гражданските енергийни общности, което им позволява да произвеждат, съхраняват и споделят енергия. Някои правни определения обаче остават неясни, като например изискванията за „близост“ и ролята на общините.</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Държавно господство на енергийния пазар:</w:t>
      </w:r>
      <w:r w:rsidRPr="00955796">
        <w:rPr>
          <w:rFonts w:ascii="Times New Roman" w:hAnsi="Times New Roman" w:cs="Times New Roman"/>
          <w:sz w:val="24"/>
          <w:szCs w:val="24"/>
          <w:lang w:val="bg"/>
        </w:rPr>
        <w:t xml:space="preserve"> Eesti Energia (държавна собственост) контролира 90 % от пазара на електроенергия в Естония, което затруднява установяването на независими енергийни общности. Най-големият оператор на разпределителна система, Електрилеви, е поставил ограничения, които ограничават малките производители на енергия да подават повече от 15 kW в мрежата, създавайки бариера за по-големи проекти на ЕК.</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Общински бариери:</w:t>
      </w:r>
      <w:r w:rsidRPr="00955796">
        <w:rPr>
          <w:rFonts w:ascii="Times New Roman" w:hAnsi="Times New Roman" w:cs="Times New Roman"/>
          <w:sz w:val="24"/>
          <w:szCs w:val="24"/>
          <w:lang w:val="bg"/>
        </w:rPr>
        <w:t xml:space="preserve"> Законите за обществените поръчки възпрепятстват прякото закупуване на електроенергия от ЕО от общините, което затруднява участието на общинските сгради в местни проекти за производство на енергия.</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Ограничени финансови стимули:</w:t>
      </w:r>
      <w:r w:rsidRPr="00955796">
        <w:rPr>
          <w:rFonts w:ascii="Times New Roman" w:hAnsi="Times New Roman" w:cs="Times New Roman"/>
          <w:sz w:val="24"/>
          <w:szCs w:val="24"/>
          <w:lang w:val="bg"/>
        </w:rPr>
        <w:t xml:space="preserve"> KredEx е предоставило субсидии за инсталиране на 15 kW слънчеви системи в жилищни сгради, но 72 % от приложенията са се провалили поради ограничения в мрежата и дълго време за свързване. Енергийните кооперации не разполагат със структурирани механизми за финансова подкрепа, което води до финансови рискове за ранните осиновители.</w:t>
      </w:r>
    </w:p>
    <w:p w:rsidR="007906A8" w:rsidRPr="00955796" w:rsidRDefault="007906A8" w:rsidP="00955796">
      <w:pPr>
        <w:spacing w:line="276" w:lineRule="auto"/>
        <w:jc w:val="both"/>
        <w:rPr>
          <w:rFonts w:ascii="Times New Roman" w:hAnsi="Times New Roman" w:cs="Times New Roman"/>
          <w:sz w:val="24"/>
          <w:szCs w:val="24"/>
          <w:lang w:val="bg"/>
        </w:rPr>
      </w:pPr>
      <w:bookmarkStart w:id="455" w:name="bookmark566"/>
      <w:r w:rsidRPr="00955796">
        <w:rPr>
          <w:rFonts w:ascii="Times New Roman" w:hAnsi="Times New Roman" w:cs="Times New Roman"/>
          <w:sz w:val="24"/>
          <w:szCs w:val="24"/>
          <w:lang w:val="bg"/>
        </w:rPr>
        <w:t>Технологични спецификации на инсталациите на ЕО:</w:t>
      </w:r>
      <w:bookmarkEnd w:id="455"/>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Слънчеви фотоволтаични инсталации:</w:t>
      </w:r>
      <w:r w:rsidRPr="00955796">
        <w:rPr>
          <w:rFonts w:ascii="Times New Roman" w:hAnsi="Times New Roman" w:cs="Times New Roman"/>
          <w:sz w:val="24"/>
          <w:szCs w:val="24"/>
          <w:lang w:val="bg"/>
        </w:rPr>
        <w:t xml:space="preserve"> Повечето пилотни проекти в Естония са насочени към малки покривни фотоволтаични системи, които обикновено варират от 13 kW до 50 kW поради ограничения на мрежата. Пример: Проектът за апартамент Tartu Annelinn планира соларна инсталация с мощност 22 kW, като 17 kW се продават обратно в мрежата.</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Съхранение на енергия и интелигентно отчитане:</w:t>
      </w:r>
      <w:r w:rsidRPr="00955796">
        <w:rPr>
          <w:rFonts w:ascii="Times New Roman" w:hAnsi="Times New Roman" w:cs="Times New Roman"/>
          <w:sz w:val="24"/>
          <w:szCs w:val="24"/>
          <w:lang w:val="bg"/>
        </w:rPr>
        <w:t xml:space="preserve"> Възприемането на съхранението на енергия е слабо поради високите разходи и регулаторната несигурност. За споделянето на енергия са необходими интелигентни измервателни уреди, но правната несигурност относно съвместните договори възпрепятства приемането.</w:t>
      </w:r>
      <w:r w:rsidRPr="00955796">
        <w:rPr>
          <w:rFonts w:ascii="Times New Roman" w:hAnsi="Times New Roman" w:cs="Times New Roman"/>
          <w:b/>
          <w:bCs/>
          <w:i/>
          <w:iCs/>
          <w:sz w:val="24"/>
          <w:szCs w:val="24"/>
          <w:lang w:val="bg"/>
        </w:rPr>
        <w:t>Районно отопление и енергийни решения в общностен мащаб:</w:t>
      </w:r>
      <w:r w:rsidRPr="00955796">
        <w:rPr>
          <w:rFonts w:ascii="Times New Roman" w:hAnsi="Times New Roman" w:cs="Times New Roman"/>
          <w:i/>
          <w:iCs/>
          <w:sz w:val="24"/>
          <w:szCs w:val="24"/>
          <w:lang w:val="bg"/>
        </w:rPr>
        <w:t xml:space="preserve"> Kääpa EC (селски проект) има за цел да интегрира слънчевата енергия с местните отоплителни системи, демонстрирайки по-интегриран общностен подход.</w:t>
      </w:r>
    </w:p>
    <w:p w:rsidR="007906A8" w:rsidRPr="00955796" w:rsidRDefault="007906A8" w:rsidP="00955796">
      <w:pPr>
        <w:spacing w:line="276" w:lineRule="auto"/>
        <w:jc w:val="both"/>
        <w:rPr>
          <w:rFonts w:ascii="Times New Roman" w:hAnsi="Times New Roman" w:cs="Times New Roman"/>
          <w:i/>
          <w:iCs/>
          <w:sz w:val="24"/>
          <w:szCs w:val="24"/>
          <w:lang w:val="bg"/>
        </w:rPr>
      </w:pPr>
      <w:r w:rsidRPr="00955796">
        <w:rPr>
          <w:rFonts w:ascii="Times New Roman" w:hAnsi="Times New Roman" w:cs="Times New Roman"/>
          <w:b/>
          <w:bCs/>
          <w:sz w:val="24"/>
          <w:szCs w:val="24"/>
          <w:lang w:val="bg"/>
        </w:rPr>
        <w:t>Ограничения на мрежата:</w:t>
      </w:r>
      <w:r w:rsidRPr="00955796">
        <w:rPr>
          <w:rFonts w:ascii="Times New Roman" w:hAnsi="Times New Roman" w:cs="Times New Roman"/>
          <w:sz w:val="24"/>
          <w:szCs w:val="24"/>
          <w:lang w:val="bg"/>
        </w:rPr>
        <w:t xml:space="preserve"> Граничната стойност от 15 kW принуждава много електроразпределителни дружества да потребяват цялата произведена електроенергия на място, вместо да я продават на мрежата. Някои райони, по-специално островите на Естония и в близост до руската граница, са изправени пред ограничения за слънчеви инсталации с мощност над 50 kW поради опасения за сигурността.</w:t>
      </w:r>
    </w:p>
    <w:p w:rsidR="007906A8" w:rsidRPr="00955796" w:rsidRDefault="007906A8" w:rsidP="00955796">
      <w:pPr>
        <w:spacing w:line="276" w:lineRule="auto"/>
        <w:jc w:val="both"/>
        <w:rPr>
          <w:rFonts w:ascii="Times New Roman" w:hAnsi="Times New Roman" w:cs="Times New Roman"/>
          <w:i/>
          <w:iCs/>
          <w:color w:val="24B1C0"/>
          <w:sz w:val="24"/>
          <w:szCs w:val="24"/>
          <w:lang w:val="bg"/>
        </w:rPr>
      </w:pPr>
      <w:r w:rsidRPr="00955796">
        <w:rPr>
          <w:rFonts w:ascii="Times New Roman" w:hAnsi="Times New Roman" w:cs="Times New Roman"/>
          <w:color w:val="24B1C0"/>
          <w:sz w:val="24"/>
          <w:szCs w:val="24"/>
          <w:lang w:val="bg"/>
        </w:rPr>
        <w:t>Приемане от потребителите и бизнес модели</w:t>
      </w:r>
    </w:p>
    <w:p w:rsidR="007906A8" w:rsidRPr="00955796" w:rsidRDefault="007906A8" w:rsidP="00955796">
      <w:pPr>
        <w:spacing w:line="276" w:lineRule="auto"/>
        <w:jc w:val="both"/>
        <w:rPr>
          <w:rFonts w:ascii="Times New Roman" w:hAnsi="Times New Roman" w:cs="Times New Roman"/>
          <w:i/>
          <w:iCs/>
          <w:sz w:val="24"/>
          <w:szCs w:val="24"/>
          <w:lang w:val="bg"/>
        </w:rPr>
      </w:pPr>
      <w:r w:rsidRPr="00955796">
        <w:rPr>
          <w:rFonts w:ascii="Times New Roman" w:hAnsi="Times New Roman" w:cs="Times New Roman"/>
          <w:b/>
          <w:bCs/>
          <w:sz w:val="24"/>
          <w:szCs w:val="24"/>
          <w:lang w:val="bg"/>
        </w:rPr>
        <w:lastRenderedPageBreak/>
        <w:t>Предизвикателства, свързани с ангажираността на потребителите:</w:t>
      </w:r>
      <w:r w:rsidRPr="00955796">
        <w:rPr>
          <w:rFonts w:ascii="Times New Roman" w:hAnsi="Times New Roman" w:cs="Times New Roman"/>
          <w:sz w:val="24"/>
          <w:szCs w:val="24"/>
          <w:lang w:val="bg"/>
        </w:rPr>
        <w:t xml:space="preserve"> Постсъветското недоверие в кооперациите затруднява убеждаването на гражданите да се присъединят към ЕО. Много естонци не са запознати с пазарите на електроенергия и възможностите за енергия от възобновяеми източници, което изисква широка обществена ангажираност. В селските райони ниските доходи и застаряващото население обезкуражават инвестициите в ЕО.</w:t>
      </w:r>
    </w:p>
    <w:p w:rsidR="007906A8" w:rsidRPr="00955796" w:rsidRDefault="007906A8" w:rsidP="00955796">
      <w:pPr>
        <w:spacing w:line="276" w:lineRule="auto"/>
        <w:jc w:val="both"/>
        <w:rPr>
          <w:rFonts w:ascii="Times New Roman" w:hAnsi="Times New Roman" w:cs="Times New Roman"/>
          <w:i/>
          <w:iCs/>
          <w:sz w:val="24"/>
          <w:szCs w:val="24"/>
          <w:lang w:val="bg"/>
        </w:rPr>
      </w:pPr>
      <w:r w:rsidRPr="00955796">
        <w:rPr>
          <w:rFonts w:ascii="Times New Roman" w:hAnsi="Times New Roman" w:cs="Times New Roman"/>
          <w:b/>
          <w:bCs/>
          <w:sz w:val="24"/>
          <w:szCs w:val="24"/>
          <w:lang w:val="bg"/>
        </w:rPr>
        <w:t>Бизнес модели:</w:t>
      </w:r>
      <w:r w:rsidRPr="00955796">
        <w:rPr>
          <w:rFonts w:ascii="Times New Roman" w:hAnsi="Times New Roman" w:cs="Times New Roman"/>
          <w:sz w:val="24"/>
          <w:szCs w:val="24"/>
          <w:lang w:val="bg"/>
        </w:rPr>
        <w:t xml:space="preserve"> Колективното финансиране и инвестициите на гражданите са използвани в проекти като инициативата за общински соларен покрив в Тарту. Seto Aiad EC (селскостопанска кооперация) се опитва да интегрира енергията от възобновяеми източници в селскостопанските дейности, за да създаде самостоятелен бизнес модел.</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Опасения във връзка с рентабилността:</w:t>
      </w:r>
      <w:r w:rsidRPr="00955796">
        <w:rPr>
          <w:rFonts w:ascii="Times New Roman" w:hAnsi="Times New Roman" w:cs="Times New Roman"/>
          <w:sz w:val="24"/>
          <w:szCs w:val="24"/>
          <w:lang w:val="bg"/>
        </w:rPr>
        <w:t xml:space="preserve"> Финансовата възвръщаемост често е твърде ниска, за да оправдае административната тежест от създаването на ЕК. Пример: В Tartu Annelinn прогнозираните икономии от 50 евро на апартамент годишно бяха счетени за твърде ниски, за да оправдаят усилията за създаване на кооперация за споделяне на енергия. </w:t>
      </w:r>
      <w:r w:rsidRPr="00955796">
        <w:rPr>
          <w:rFonts w:ascii="Times New Roman" w:hAnsi="Times New Roman" w:cs="Times New Roman"/>
          <w:b/>
          <w:bCs/>
          <w:sz w:val="24"/>
          <w:szCs w:val="24"/>
          <w:lang w:val="bg"/>
        </w:rPr>
        <w:t>Общинска подкрепа, но ограничено пряко участие:</w:t>
      </w:r>
      <w:r w:rsidRPr="00955796">
        <w:rPr>
          <w:rFonts w:ascii="Times New Roman" w:hAnsi="Times New Roman" w:cs="Times New Roman"/>
          <w:sz w:val="24"/>
          <w:szCs w:val="24"/>
          <w:lang w:val="bg"/>
        </w:rPr>
        <w:t xml:space="preserve"> Градове като Тарту подкрепиха ЕК, като предоставиха технически насоки, но не могат да инвестират пряко поради законодателството в областта на обществените поръчки.</w:t>
      </w:r>
    </w:p>
    <w:p w:rsidR="007906A8" w:rsidRPr="007906A8" w:rsidRDefault="007906A8" w:rsidP="007906A8">
      <w:pPr>
        <w:rPr>
          <w:i/>
          <w:iCs/>
          <w:lang w:val="bg"/>
        </w:rPr>
      </w:pPr>
    </w:p>
    <w:p w:rsidR="007906A8" w:rsidRDefault="007906A8" w:rsidP="00B01311">
      <w:pPr>
        <w:pStyle w:val="Heading1"/>
        <w:numPr>
          <w:ilvl w:val="0"/>
          <w:numId w:val="96"/>
        </w:numPr>
        <w:spacing w:line="276" w:lineRule="auto"/>
        <w:jc w:val="both"/>
        <w:rPr>
          <w:rFonts w:ascii="Times New Roman" w:hAnsi="Times New Roman" w:cs="Times New Roman"/>
          <w:color w:val="24B1C0"/>
          <w:lang w:val="bg"/>
        </w:rPr>
      </w:pPr>
      <w:bookmarkStart w:id="456" w:name="bookmark568"/>
      <w:bookmarkStart w:id="457" w:name="_Toc203141349"/>
      <w:r w:rsidRPr="00955796">
        <w:rPr>
          <w:rFonts w:ascii="Times New Roman" w:hAnsi="Times New Roman" w:cs="Times New Roman"/>
          <w:color w:val="24B1C0"/>
          <w:lang w:val="bg"/>
        </w:rPr>
        <w:t>Изграждане на капацитет, ангажираност на заинтересованите страни и бизнес модели</w:t>
      </w:r>
      <w:bookmarkEnd w:id="456"/>
      <w:bookmarkEnd w:id="457"/>
    </w:p>
    <w:p w:rsidR="00816122" w:rsidRPr="00816122" w:rsidRDefault="00816122" w:rsidP="00816122">
      <w:pPr>
        <w:rPr>
          <w:lang w:val="bg"/>
        </w:rPr>
      </w:pPr>
    </w:p>
    <w:p w:rsidR="007906A8" w:rsidRDefault="00955796" w:rsidP="00955796">
      <w:pPr>
        <w:pStyle w:val="Heading2"/>
        <w:spacing w:line="276" w:lineRule="auto"/>
        <w:jc w:val="both"/>
        <w:rPr>
          <w:rFonts w:ascii="Times New Roman" w:hAnsi="Times New Roman" w:cs="Times New Roman"/>
          <w:color w:val="24B1C0"/>
          <w:sz w:val="30"/>
          <w:szCs w:val="30"/>
          <w:lang w:val="bg"/>
        </w:rPr>
      </w:pPr>
      <w:bookmarkStart w:id="458" w:name="bookmark570"/>
      <w:bookmarkStart w:id="459" w:name="_Toc203141350"/>
      <w:r>
        <w:rPr>
          <w:rFonts w:ascii="Times New Roman" w:hAnsi="Times New Roman" w:cs="Times New Roman"/>
          <w:color w:val="24B1C0"/>
          <w:sz w:val="30"/>
          <w:szCs w:val="30"/>
          <w:lang w:val="bg"/>
        </w:rPr>
        <w:t xml:space="preserve">8.1 </w:t>
      </w:r>
      <w:r w:rsidR="007906A8" w:rsidRPr="00955796">
        <w:rPr>
          <w:rFonts w:ascii="Times New Roman" w:hAnsi="Times New Roman" w:cs="Times New Roman"/>
          <w:color w:val="24B1C0"/>
          <w:sz w:val="30"/>
          <w:szCs w:val="30"/>
          <w:lang w:val="bg"/>
        </w:rPr>
        <w:t>Участие и обратна връзка от съответните заинтересовани страни</w:t>
      </w:r>
      <w:bookmarkEnd w:id="458"/>
      <w:bookmarkEnd w:id="459"/>
    </w:p>
    <w:p w:rsidR="00955796" w:rsidRPr="00955796" w:rsidRDefault="00955796" w:rsidP="00955796">
      <w:pPr>
        <w:rPr>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Като част от проекта бяха проведени консултации с широк кръг от стратегически заинтересовани страни с цел събиране на информация, установяване на пречките и съвместно създаване на решения. Сред тях бяха регулатори, оператори на разпределителни системи, търговци на енергия, представители на академичните среди и нововъзникващи представители на енергийната общност. Консултациите потвърдиха както неотложността, така и сложността на отключването на потенциала на енергийните общности в развиващия се енергиен пазар на България.</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Основни акценти от срещите със заинтересованите страни:</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 xml:space="preserve">КЕВР (регулатор): </w:t>
      </w:r>
      <w:r w:rsidRPr="00955796">
        <w:rPr>
          <w:rFonts w:ascii="Times New Roman" w:hAnsi="Times New Roman" w:cs="Times New Roman"/>
          <w:sz w:val="24"/>
          <w:szCs w:val="24"/>
          <w:lang w:val="bg"/>
        </w:rPr>
        <w:t>Комисията подчерта значението на изпълнението на предстоящите реформи, свързани с финансирането от ЕС, и по-специално Механизма за възстановяване и устойчивост, включително една, която е специално насочена към създаване на възможности за енергийните общности. Политическата съпротива обаче продължава да забавя либерализацията на пазара, което е предпоставка за гъвкаво участие на по-широк кръг участници на пазара, включително произвеждащи потребители и енергийни общности.</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 xml:space="preserve">Академия (експерти от водещи български университети): </w:t>
      </w:r>
      <w:r w:rsidRPr="00955796">
        <w:rPr>
          <w:rFonts w:ascii="Times New Roman" w:hAnsi="Times New Roman" w:cs="Times New Roman"/>
          <w:sz w:val="24"/>
          <w:szCs w:val="24"/>
          <w:lang w:val="bg"/>
        </w:rPr>
        <w:t xml:space="preserve">Експертите призоваха за гъвкави модели, подобрени инструменти за моделиране и пилотни проекти извън фотоволтаичните системи (напр. отопление, охлаждане, съхранение). Бяха изразени </w:t>
      </w:r>
      <w:r w:rsidRPr="00955796">
        <w:rPr>
          <w:rFonts w:ascii="Times New Roman" w:hAnsi="Times New Roman" w:cs="Times New Roman"/>
          <w:sz w:val="24"/>
          <w:szCs w:val="24"/>
          <w:lang w:val="bg"/>
        </w:rPr>
        <w:lastRenderedPageBreak/>
        <w:t>опасения относно забавеното транспониране на правилата на ЕС и недостатъчното адаптиране към местния контекст.</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 xml:space="preserve">ОРС: </w:t>
      </w:r>
      <w:r w:rsidRPr="00955796">
        <w:rPr>
          <w:rFonts w:ascii="Times New Roman" w:hAnsi="Times New Roman" w:cs="Times New Roman"/>
          <w:b/>
          <w:bCs/>
          <w:sz w:val="24"/>
          <w:szCs w:val="24"/>
          <w:lang w:val="bg"/>
        </w:rPr>
        <w:t xml:space="preserve"> </w:t>
      </w:r>
      <w:r w:rsidRPr="00955796">
        <w:rPr>
          <w:rFonts w:ascii="Times New Roman" w:hAnsi="Times New Roman" w:cs="Times New Roman"/>
          <w:sz w:val="24"/>
          <w:szCs w:val="24"/>
          <w:lang w:val="bg"/>
        </w:rPr>
        <w:t>Въпреки че ОРС признават ролята на енергийните общности, те подчертават необходимостта от добре определени правила за интелигентно отчитане, правна яснота и включване на тарифи, основани на капацитета, в допълнение към тарифите, основани на транспортираните количества енергия, което е единствената основа на настоящата тарифна система. Наличието на много връзки, при които потреблението е нулево или близко до нулево, прави този тарифен модел такъв, който подкопава дългосрочните инвестиции в мрежите. EVN подкрепя виртуалното фактуриране като най-добрия механизъм за България, съобразен с бъдещето, докато Elektrohold подчертава необходимостта от национални платформи за данни и пилотна подкрепа чрез фондовете на ЕС.</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 xml:space="preserve">ОПС: </w:t>
      </w:r>
      <w:r w:rsidRPr="00955796">
        <w:rPr>
          <w:rFonts w:ascii="Times New Roman" w:hAnsi="Times New Roman" w:cs="Times New Roman"/>
          <w:sz w:val="24"/>
          <w:szCs w:val="24"/>
          <w:lang w:val="bg"/>
        </w:rPr>
        <w:t>Интервюираните експерти от ЕОС се застъпват за изграждането на екосистема от интелигентни електроенергийни мрежи, като ОРС са оправомощени да управляват гъвкавостта подобно на ОПС. подчертава необходимостта от правни актуализации на пазарните правила и мрежовите кодекси и подкрепя разработването на централизиран център за данни, който да бъде поставен под управлението на оператора на преносна система;</w:t>
      </w: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 xml:space="preserve">Търговци на </w:t>
      </w:r>
      <w:r w:rsidRPr="00955796">
        <w:rPr>
          <w:rFonts w:ascii="Times New Roman" w:hAnsi="Times New Roman" w:cs="Times New Roman"/>
          <w:b/>
          <w:bCs/>
          <w:sz w:val="24"/>
          <w:szCs w:val="24"/>
          <w:lang w:val="bg"/>
        </w:rPr>
        <w:t xml:space="preserve">енергия/оператор на платформа на търговци на енергия: </w:t>
      </w:r>
      <w:r w:rsidRPr="00955796">
        <w:rPr>
          <w:rFonts w:ascii="Times New Roman" w:hAnsi="Times New Roman" w:cs="Times New Roman"/>
          <w:sz w:val="24"/>
          <w:szCs w:val="24"/>
          <w:lang w:val="bg"/>
        </w:rPr>
        <w:t>Търговците изглежда подкрепят енергийните общности като цяло, но отбелязват настоящите структурни и ценови изкривявания. Те планират да предлагат продукти за енергийните общности, но все още не са проактивни. Те подчертават необходимостта от прозрачност на данните и виждат стойност в платформите за образование, агрегиране и участие на пазара. Elca.bg като оператор на платформа за търговия е готов да улесни дигиталния достъп на общностите.</w:t>
      </w:r>
    </w:p>
    <w:p w:rsidR="007906A8"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b/>
          <w:bCs/>
          <w:sz w:val="24"/>
          <w:szCs w:val="24"/>
          <w:lang w:val="bg"/>
        </w:rPr>
        <w:t xml:space="preserve">Енергийни общности: </w:t>
      </w:r>
      <w:r w:rsidRPr="00955796">
        <w:rPr>
          <w:rFonts w:ascii="Times New Roman" w:hAnsi="Times New Roman" w:cs="Times New Roman"/>
          <w:sz w:val="24"/>
          <w:szCs w:val="24"/>
          <w:lang w:val="bg"/>
        </w:rPr>
        <w:t>Инициативите, проведени в Габрово и Бургас, демонстрират осъществимостта и ползите от местното, водено от общността споделяне на енергия. Въпреки това законодателните пропуски, липсата на интелигентни измервателни уреди и ограничените финансови стимули продължават да бъдат пречки.</w:t>
      </w:r>
    </w:p>
    <w:p w:rsidR="00955796" w:rsidRPr="00955796" w:rsidRDefault="00955796" w:rsidP="00955796">
      <w:pPr>
        <w:spacing w:line="276" w:lineRule="auto"/>
        <w:jc w:val="both"/>
        <w:rPr>
          <w:rFonts w:ascii="Times New Roman" w:hAnsi="Times New Roman" w:cs="Times New Roman"/>
          <w:sz w:val="24"/>
          <w:szCs w:val="24"/>
          <w:lang w:val="bg"/>
        </w:rPr>
      </w:pPr>
    </w:p>
    <w:p w:rsidR="007906A8" w:rsidRPr="00955796" w:rsidRDefault="00955796" w:rsidP="00955796">
      <w:pPr>
        <w:pStyle w:val="Heading2"/>
        <w:spacing w:line="276" w:lineRule="auto"/>
        <w:jc w:val="both"/>
        <w:rPr>
          <w:rFonts w:ascii="Times New Roman" w:hAnsi="Times New Roman" w:cs="Times New Roman"/>
          <w:color w:val="24B1C0"/>
          <w:sz w:val="30"/>
          <w:szCs w:val="30"/>
          <w:lang w:val="bg"/>
        </w:rPr>
      </w:pPr>
      <w:bookmarkStart w:id="460" w:name="bookmark572"/>
      <w:bookmarkStart w:id="461" w:name="_Toc203141351"/>
      <w:r w:rsidRPr="00955796">
        <w:rPr>
          <w:rFonts w:ascii="Times New Roman" w:hAnsi="Times New Roman" w:cs="Times New Roman"/>
          <w:color w:val="24B1C0"/>
          <w:sz w:val="30"/>
          <w:szCs w:val="30"/>
          <w:lang w:val="bg"/>
        </w:rPr>
        <w:t xml:space="preserve">8.2 </w:t>
      </w:r>
      <w:r w:rsidR="007906A8" w:rsidRPr="00955796">
        <w:rPr>
          <w:rFonts w:ascii="Times New Roman" w:hAnsi="Times New Roman" w:cs="Times New Roman"/>
          <w:color w:val="24B1C0"/>
          <w:sz w:val="30"/>
          <w:szCs w:val="30"/>
          <w:lang w:val="bg"/>
        </w:rPr>
        <w:t>Практически семинари за обучение, насочени към ролите и</w:t>
      </w:r>
      <w:bookmarkEnd w:id="460"/>
      <w:bookmarkEnd w:id="461"/>
    </w:p>
    <w:p w:rsidR="007906A8" w:rsidRPr="00955796" w:rsidRDefault="007906A8" w:rsidP="00955796">
      <w:pPr>
        <w:pStyle w:val="Heading2"/>
        <w:spacing w:line="276" w:lineRule="auto"/>
        <w:jc w:val="both"/>
        <w:rPr>
          <w:rFonts w:ascii="Times New Roman" w:hAnsi="Times New Roman" w:cs="Times New Roman"/>
          <w:color w:val="24B1C0"/>
          <w:sz w:val="30"/>
          <w:szCs w:val="30"/>
          <w:lang w:val="bg"/>
        </w:rPr>
      </w:pPr>
      <w:bookmarkStart w:id="462" w:name="_Toc203141352"/>
      <w:r w:rsidRPr="00955796">
        <w:rPr>
          <w:rFonts w:ascii="Times New Roman" w:hAnsi="Times New Roman" w:cs="Times New Roman"/>
          <w:color w:val="24B1C0"/>
          <w:sz w:val="30"/>
          <w:szCs w:val="30"/>
          <w:lang w:val="bg"/>
        </w:rPr>
        <w:t>отговорности, икономическа жизнеспособност и технологии</w:t>
      </w:r>
      <w:bookmarkEnd w:id="462"/>
    </w:p>
    <w:p w:rsidR="00955796" w:rsidRPr="00955796" w:rsidRDefault="00955796" w:rsidP="00955796">
      <w:pPr>
        <w:rPr>
          <w:color w:val="24B1C0"/>
          <w:lang w:val="bg"/>
        </w:rPr>
      </w:pPr>
    </w:p>
    <w:p w:rsidR="007906A8" w:rsidRPr="00955796" w:rsidRDefault="007906A8" w:rsidP="00955796">
      <w:pPr>
        <w:spacing w:line="276" w:lineRule="auto"/>
        <w:jc w:val="both"/>
        <w:rPr>
          <w:rFonts w:ascii="Times New Roman" w:hAnsi="Times New Roman" w:cs="Times New Roman"/>
          <w:sz w:val="24"/>
          <w:szCs w:val="24"/>
          <w:lang w:val="bg"/>
        </w:rPr>
      </w:pPr>
      <w:r w:rsidRPr="00955796">
        <w:rPr>
          <w:rFonts w:ascii="Times New Roman" w:hAnsi="Times New Roman" w:cs="Times New Roman"/>
          <w:sz w:val="24"/>
          <w:szCs w:val="24"/>
          <w:lang w:val="bg"/>
        </w:rPr>
        <w:t>През последния месец от периода на проекта в София се проведе работна среща със заинтересованите страни от българската енергийна общност. Участниците бяха разделени в 3 групи и разгледаха въпроси, свързани с ролите и отговорностите, икономическата жизнеспособност и стимулите, техническата интеграция и иновациите. Обобщение на получените отзиви е представено в</w:t>
      </w:r>
      <w:hyperlink w:anchor="bookmark575" w:tooltip="Current Document">
        <w:r w:rsidRPr="00955796">
          <w:rPr>
            <w:rStyle w:val="Hyperlink"/>
            <w:rFonts w:ascii="Times New Roman" w:hAnsi="Times New Roman" w:cs="Times New Roman"/>
            <w:sz w:val="24"/>
            <w:szCs w:val="24"/>
            <w:lang w:val="bg"/>
          </w:rPr>
          <w:t xml:space="preserve"> таблица 21.</w:t>
        </w:r>
      </w:hyperlink>
    </w:p>
    <w:p w:rsidR="00955796" w:rsidRDefault="007906A8" w:rsidP="00955796">
      <w:pPr>
        <w:spacing w:line="276" w:lineRule="auto"/>
        <w:jc w:val="both"/>
        <w:rPr>
          <w:rFonts w:ascii="Times New Roman" w:hAnsi="Times New Roman" w:cs="Times New Roman"/>
          <w:sz w:val="24"/>
          <w:szCs w:val="24"/>
          <w:lang w:val="bg"/>
        </w:rPr>
      </w:pPr>
      <w:bookmarkStart w:id="463" w:name="bookmark575"/>
      <w:r w:rsidRPr="00955796">
        <w:rPr>
          <w:rFonts w:ascii="Times New Roman" w:hAnsi="Times New Roman" w:cs="Times New Roman"/>
          <w:sz w:val="24"/>
          <w:szCs w:val="24"/>
          <w:lang w:val="bg"/>
        </w:rPr>
        <w:t>Таблица 21 — Обобщение на обратната информация от семинара от заинтересованите страни от българската енергийна общност</w:t>
      </w:r>
      <w:bookmarkEnd w:id="463"/>
    </w:p>
    <w:p w:rsidR="00955796" w:rsidRDefault="00955796" w:rsidP="00955796">
      <w:pPr>
        <w:spacing w:line="276" w:lineRule="auto"/>
        <w:jc w:val="both"/>
        <w:rPr>
          <w:rFonts w:ascii="Times New Roman" w:hAnsi="Times New Roman" w:cs="Times New Roman"/>
          <w:sz w:val="24"/>
          <w:szCs w:val="24"/>
          <w:lang w:val="bg"/>
        </w:rPr>
      </w:pPr>
    </w:p>
    <w:p w:rsidR="00955796" w:rsidRDefault="00955796" w:rsidP="00955796">
      <w:pPr>
        <w:spacing w:line="276" w:lineRule="auto"/>
        <w:jc w:val="both"/>
        <w:rPr>
          <w:rFonts w:ascii="Times New Roman" w:hAnsi="Times New Roman" w:cs="Times New Roman"/>
          <w:sz w:val="24"/>
          <w:szCs w:val="24"/>
          <w:lang w:val="bg"/>
        </w:rPr>
      </w:pPr>
    </w:p>
    <w:p w:rsidR="00955796" w:rsidRDefault="00955796" w:rsidP="00955796">
      <w:pPr>
        <w:spacing w:line="276" w:lineRule="auto"/>
        <w:jc w:val="both"/>
        <w:rPr>
          <w:rFonts w:ascii="Times New Roman" w:hAnsi="Times New Roman" w:cs="Times New Roman"/>
          <w:sz w:val="24"/>
          <w:szCs w:val="24"/>
          <w:lang w:val="bg"/>
        </w:rPr>
      </w:pPr>
    </w:p>
    <w:p w:rsidR="00955796" w:rsidRDefault="00955796" w:rsidP="00955796">
      <w:pPr>
        <w:spacing w:line="276" w:lineRule="auto"/>
        <w:jc w:val="both"/>
        <w:rPr>
          <w:rFonts w:ascii="Times New Roman" w:hAnsi="Times New Roman" w:cs="Times New Roman"/>
          <w:sz w:val="24"/>
          <w:szCs w:val="24"/>
          <w:lang w:val="bg"/>
        </w:rPr>
      </w:pPr>
    </w:p>
    <w:p w:rsidR="00955796" w:rsidRPr="00955796" w:rsidRDefault="00955796" w:rsidP="00955796">
      <w:pPr>
        <w:spacing w:line="276" w:lineRule="auto"/>
        <w:jc w:val="both"/>
        <w:rPr>
          <w:rFonts w:ascii="Times New Roman" w:hAnsi="Times New Roman" w:cs="Times New Roman"/>
          <w:sz w:val="24"/>
          <w:szCs w:val="24"/>
          <w:lang w:val="bg"/>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988"/>
        <w:gridCol w:w="2551"/>
        <w:gridCol w:w="2845"/>
        <w:gridCol w:w="2650"/>
      </w:tblGrid>
      <w:tr w:rsidR="007906A8" w:rsidRPr="00955796" w:rsidTr="00955796">
        <w:trPr>
          <w:trHeight w:hRule="exact" w:val="946"/>
          <w:jc w:val="center"/>
        </w:trPr>
        <w:tc>
          <w:tcPr>
            <w:tcW w:w="988"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b/>
                <w:bCs/>
                <w:lang w:val="bg"/>
              </w:rPr>
              <w:t>Група</w:t>
            </w:r>
          </w:p>
        </w:tc>
        <w:tc>
          <w:tcPr>
            <w:tcW w:w="2551"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b/>
                <w:bCs/>
                <w:lang w:val="bg"/>
              </w:rPr>
              <w:t>Роли и отговорности</w:t>
            </w:r>
          </w:p>
        </w:tc>
        <w:tc>
          <w:tcPr>
            <w:tcW w:w="2845" w:type="dxa"/>
            <w:tcBorders>
              <w:top w:val="single" w:sz="4" w:space="0" w:color="auto"/>
              <w:left w:val="single" w:sz="4" w:space="0" w:color="auto"/>
            </w:tcBorders>
            <w:shd w:val="clear" w:color="auto" w:fill="auto"/>
            <w:vAlign w:val="bottom"/>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b/>
                <w:bCs/>
                <w:lang w:val="bg"/>
              </w:rPr>
              <w:t>Икономическа жизнеспособност и стимули</w:t>
            </w:r>
          </w:p>
        </w:tc>
        <w:tc>
          <w:tcPr>
            <w:tcW w:w="2650" w:type="dxa"/>
            <w:tcBorders>
              <w:top w:val="single" w:sz="4" w:space="0" w:color="auto"/>
              <w:left w:val="single" w:sz="4" w:space="0" w:color="auto"/>
              <w:right w:val="single" w:sz="4" w:space="0" w:color="auto"/>
            </w:tcBorders>
            <w:shd w:val="clear" w:color="auto" w:fill="auto"/>
            <w:vAlign w:val="bottom"/>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b/>
                <w:bCs/>
                <w:lang w:val="bg"/>
              </w:rPr>
              <w:t>Технологична интеграция и иновации</w:t>
            </w:r>
          </w:p>
        </w:tc>
      </w:tr>
      <w:tr w:rsidR="007906A8" w:rsidRPr="00955796" w:rsidTr="00955796">
        <w:trPr>
          <w:trHeight w:hRule="exact" w:val="11697"/>
          <w:jc w:val="center"/>
        </w:trPr>
        <w:tc>
          <w:tcPr>
            <w:tcW w:w="988"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ОРС</w:t>
            </w:r>
          </w:p>
        </w:tc>
        <w:tc>
          <w:tcPr>
            <w:tcW w:w="2551"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ОРС са неутрална страна и следва да третират всички клиенти еднакво. На общините се гледа като на основна заинтересована страна — те имат доверие сред гражданите и могат да предоставят информация. Енергийните общности следва да бъдат представлявани от юридическо лице — например оператор на енергийна общност, доставчик на агрегирани услуги, търговец на дребно или друга трета страна.</w:t>
            </w:r>
          </w:p>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Необходимо е вторично законодателство, насочено към енергийните общности, така че операторите на разпределителни системи да могат адекватно да подкрепят създаването им в мрежата.</w:t>
            </w:r>
          </w:p>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Разработване на пазарно ориентирани продукти.</w:t>
            </w:r>
          </w:p>
        </w:tc>
        <w:tc>
          <w:tcPr>
            <w:tcW w:w="2845"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Не следва да има намаляване на мрежовите тарифи във връзка с въвеждането на енергийни общности. Освен това всички измервателни точки следва да плащат фиксирана тарифа за измерване. Понастоящем сред домакинствата няма достатъчно познания за възможностите и последиците, свързани с либерализацията на пазара, а резултатът от прехвърлянето на домакинствата на либерализиран пазар засега не е гарантиран като благоприятен.</w:t>
            </w:r>
          </w:p>
        </w:tc>
        <w:tc>
          <w:tcPr>
            <w:tcW w:w="2650" w:type="dxa"/>
            <w:tcBorders>
              <w:top w:val="single" w:sz="4" w:space="0" w:color="auto"/>
              <w:left w:val="single" w:sz="4" w:space="0" w:color="auto"/>
              <w:right w:val="single" w:sz="4" w:space="0" w:color="auto"/>
            </w:tcBorders>
            <w:shd w:val="clear" w:color="auto" w:fill="auto"/>
            <w:vAlign w:val="bottom"/>
          </w:tcPr>
          <w:p w:rsidR="007906A8" w:rsidRDefault="00955796" w:rsidP="007906A8">
            <w:pPr>
              <w:rPr>
                <w:rFonts w:ascii="Times New Roman" w:hAnsi="Times New Roman" w:cs="Times New Roman"/>
                <w:lang w:val="bg"/>
              </w:rPr>
            </w:pPr>
            <w:r w:rsidRPr="00955796">
              <w:rPr>
                <w:rFonts w:ascii="Times New Roman" w:hAnsi="Times New Roman" w:cs="Times New Roman"/>
                <w:lang w:val="bg"/>
              </w:rPr>
              <w:t>„Нетното измерване“ не е осъществимо за операторите на разпределителни системи, тъй като съгласно нормативната уредба потоците на електроенергия следва да се измерват и в двете посоки (производство/потребление). Необходимо е подробно описание на техническите спецификации на интелигентните измервателни уреди. В момента редица от точките на измерване могат да бъдат прочетени дистанционно. За да могат да въвеждат иновации и да се приспособяват към енергийните общности, операторите на разпределителни системи изискват въвеждането на регулаторни лаборатории, така че те да могат да започнат с дребномащабни пилотни проекти и постепенно да увеличат приемането. Софтуер за споделяне на данни в реално време, хардуер за измерване и споделяне на електроенергия в близко местно разстояние.</w:t>
            </w:r>
          </w:p>
          <w:p w:rsidR="00955796" w:rsidRPr="00955796" w:rsidRDefault="00955796" w:rsidP="007906A8">
            <w:pPr>
              <w:rPr>
                <w:rFonts w:ascii="Times New Roman" w:hAnsi="Times New Roman" w:cs="Times New Roman"/>
                <w:lang w:val="bg"/>
              </w:rPr>
            </w:pPr>
          </w:p>
        </w:tc>
      </w:tr>
      <w:tr w:rsidR="007906A8" w:rsidRPr="00955796" w:rsidTr="00955796">
        <w:trPr>
          <w:trHeight w:hRule="exact" w:val="4823"/>
          <w:jc w:val="center"/>
        </w:trPr>
        <w:tc>
          <w:tcPr>
            <w:tcW w:w="988"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lastRenderedPageBreak/>
              <w:t>Общини, граждани</w:t>
            </w:r>
          </w:p>
        </w:tc>
        <w:tc>
          <w:tcPr>
            <w:tcW w:w="2551" w:type="dxa"/>
            <w:tcBorders>
              <w:top w:val="single" w:sz="4" w:space="0" w:color="auto"/>
              <w:left w:val="single" w:sz="4" w:space="0" w:color="auto"/>
            </w:tcBorders>
            <w:shd w:val="clear" w:color="auto" w:fill="auto"/>
            <w:vAlign w:val="bottom"/>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Да се обърне по-голямо внимание на профилите им на търсене и да се проучат възможностите за производство за собствено потребление. Подпомагане на енергийните общности чрез повишаване на осведомеността и предоставяне на ресурси. Активно да популяризира най-добрите практики и да насърчава разработването на пилотни проекти.</w:t>
            </w:r>
          </w:p>
        </w:tc>
        <w:tc>
          <w:tcPr>
            <w:tcW w:w="2845" w:type="dxa"/>
            <w:tcBorders>
              <w:top w:val="single" w:sz="4" w:space="0" w:color="auto"/>
              <w:lef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Няма да има никакъв ангажимент от страна на гражданите, освен ако не се докаже, че ЕК ще осигури по-ниски сметки за електроенергия.</w:t>
            </w:r>
          </w:p>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Бизнес моделите трябва да се основават на печалбата, не само че гражданите могат да спестят пари, но всъщност да реализират печалба чрез продажба на електроенергия.</w:t>
            </w:r>
          </w:p>
        </w:tc>
        <w:tc>
          <w:tcPr>
            <w:tcW w:w="2650" w:type="dxa"/>
            <w:tcBorders>
              <w:top w:val="single" w:sz="4" w:space="0" w:color="auto"/>
              <w:left w:val="single" w:sz="4" w:space="0" w:color="auto"/>
              <w:righ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Инфраструктурата трябва да бъде много проста за обикновените граждани. Това следва да бъдат процедури за „повикване и подписване“ и трета страна да се занимава с всички технически въпроси. Ако тя стане твърде сложна и бюрократична, тя не е жизнеспособна.</w:t>
            </w:r>
          </w:p>
        </w:tc>
      </w:tr>
      <w:tr w:rsidR="007906A8" w:rsidRPr="00955796" w:rsidTr="00955796">
        <w:trPr>
          <w:trHeight w:hRule="exact" w:val="4293"/>
          <w:jc w:val="center"/>
        </w:trPr>
        <w:tc>
          <w:tcPr>
            <w:tcW w:w="988" w:type="dxa"/>
            <w:tcBorders>
              <w:top w:val="single" w:sz="4" w:space="0" w:color="auto"/>
              <w:left w:val="single" w:sz="4" w:space="0" w:color="auto"/>
              <w:bottom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Национални органи</w:t>
            </w:r>
          </w:p>
        </w:tc>
        <w:tc>
          <w:tcPr>
            <w:tcW w:w="2551" w:type="dxa"/>
            <w:tcBorders>
              <w:top w:val="single" w:sz="4" w:space="0" w:color="auto"/>
              <w:left w:val="single" w:sz="4" w:space="0" w:color="auto"/>
              <w:bottom w:val="single" w:sz="4" w:space="0" w:color="auto"/>
            </w:tcBorders>
            <w:shd w:val="clear" w:color="auto" w:fill="auto"/>
            <w:vAlign w:val="bottom"/>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Намаляване на мрежовите данъци, целенасочена финансова подкрепа за уязвимите потребители, разработване на специфична административна уредба за лесно участие на гражданите в ЕК.</w:t>
            </w:r>
          </w:p>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Либерализиране на цените на електроенергията в краткосрочен план.</w:t>
            </w:r>
          </w:p>
        </w:tc>
        <w:tc>
          <w:tcPr>
            <w:tcW w:w="2845" w:type="dxa"/>
            <w:tcBorders>
              <w:top w:val="single" w:sz="4" w:space="0" w:color="auto"/>
              <w:left w:val="single" w:sz="4" w:space="0" w:color="auto"/>
              <w:bottom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Националните органи трябва да представят ясни определения на мрежовите тарифи и други разпоредби.</w:t>
            </w:r>
          </w:p>
        </w:tc>
        <w:tc>
          <w:tcPr>
            <w:tcW w:w="2650" w:type="dxa"/>
            <w:tcBorders>
              <w:top w:val="single" w:sz="4" w:space="0" w:color="auto"/>
              <w:left w:val="single" w:sz="4" w:space="0" w:color="auto"/>
              <w:bottom w:val="single" w:sz="4" w:space="0" w:color="auto"/>
              <w:righ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Да се насърчи краткосрочната подмяна на всички домакински електромери с интелигентни.</w:t>
            </w:r>
          </w:p>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Разграничаване на CEC и REC в регулирането.</w:t>
            </w:r>
          </w:p>
        </w:tc>
      </w:tr>
      <w:tr w:rsidR="007906A8" w:rsidRPr="00955796" w:rsidTr="00955796">
        <w:trPr>
          <w:trHeight w:hRule="exact" w:val="1947"/>
          <w:jc w:val="center"/>
        </w:trPr>
        <w:tc>
          <w:tcPr>
            <w:tcW w:w="988" w:type="dxa"/>
            <w:tcBorders>
              <w:top w:val="single" w:sz="4" w:space="0" w:color="auto"/>
              <w:left w:val="single" w:sz="4" w:space="0" w:color="auto"/>
              <w:bottom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Академия</w:t>
            </w:r>
          </w:p>
        </w:tc>
        <w:tc>
          <w:tcPr>
            <w:tcW w:w="2551" w:type="dxa"/>
            <w:tcBorders>
              <w:top w:val="single" w:sz="4" w:space="0" w:color="auto"/>
              <w:left w:val="single" w:sz="4" w:space="0" w:color="auto"/>
              <w:bottom w:val="single" w:sz="4" w:space="0" w:color="auto"/>
            </w:tcBorders>
            <w:shd w:val="clear" w:color="auto" w:fill="auto"/>
            <w:vAlign w:val="bottom"/>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Да се засили разработването на SW и HW решения, които дават възможност за споделяне на електроенергия.</w:t>
            </w:r>
          </w:p>
        </w:tc>
        <w:tc>
          <w:tcPr>
            <w:tcW w:w="2845" w:type="dxa"/>
            <w:tcBorders>
              <w:top w:val="single" w:sz="4" w:space="0" w:color="auto"/>
              <w:left w:val="single" w:sz="4" w:space="0" w:color="auto"/>
              <w:bottom w:val="single" w:sz="4" w:space="0" w:color="auto"/>
            </w:tcBorders>
            <w:shd w:val="clear" w:color="auto" w:fill="auto"/>
          </w:tcPr>
          <w:p w:rsidR="007906A8" w:rsidRPr="00955796" w:rsidRDefault="007906A8" w:rsidP="007906A8">
            <w:pPr>
              <w:rPr>
                <w:rFonts w:ascii="Times New Roman" w:hAnsi="Times New Roman" w:cs="Times New Roman"/>
                <w:lang w:val="bg"/>
              </w:rPr>
            </w:pPr>
          </w:p>
        </w:tc>
        <w:tc>
          <w:tcPr>
            <w:tcW w:w="2650" w:type="dxa"/>
            <w:tcBorders>
              <w:top w:val="single" w:sz="4" w:space="0" w:color="auto"/>
              <w:left w:val="single" w:sz="4" w:space="0" w:color="auto"/>
              <w:bottom w:val="single" w:sz="4" w:space="0" w:color="auto"/>
              <w:right w:val="single" w:sz="4" w:space="0" w:color="auto"/>
            </w:tcBorders>
            <w:shd w:val="clear" w:color="auto" w:fill="auto"/>
          </w:tcPr>
          <w:p w:rsidR="007906A8" w:rsidRPr="00955796" w:rsidRDefault="007906A8" w:rsidP="007906A8">
            <w:pPr>
              <w:rPr>
                <w:rFonts w:ascii="Times New Roman" w:hAnsi="Times New Roman" w:cs="Times New Roman"/>
                <w:lang w:val="bg"/>
              </w:rPr>
            </w:pPr>
            <w:r w:rsidRPr="00955796">
              <w:rPr>
                <w:rFonts w:ascii="Times New Roman" w:hAnsi="Times New Roman" w:cs="Times New Roman"/>
                <w:lang w:val="bg"/>
              </w:rPr>
              <w:t>Увеличаване на приложенията и устройствата за домашна автоматизация.</w:t>
            </w:r>
          </w:p>
        </w:tc>
      </w:tr>
    </w:tbl>
    <w:p w:rsidR="007906A8" w:rsidRDefault="007906A8" w:rsidP="007906A8">
      <w:pPr>
        <w:rPr>
          <w:lang w:val="bg"/>
        </w:rPr>
      </w:pPr>
    </w:p>
    <w:p w:rsidR="00125771" w:rsidRDefault="00125771" w:rsidP="007906A8">
      <w:pPr>
        <w:rPr>
          <w:lang w:val="bg"/>
        </w:rPr>
      </w:pPr>
    </w:p>
    <w:p w:rsidR="00125771" w:rsidRPr="007906A8" w:rsidRDefault="00125771" w:rsidP="007906A8">
      <w:pPr>
        <w:rPr>
          <w:lang w:val="bg"/>
        </w:rPr>
      </w:pPr>
    </w:p>
    <w:p w:rsidR="007906A8" w:rsidRDefault="007906A8" w:rsidP="00B01311">
      <w:pPr>
        <w:pStyle w:val="Heading2"/>
        <w:numPr>
          <w:ilvl w:val="1"/>
          <w:numId w:val="96"/>
        </w:numPr>
        <w:spacing w:line="276" w:lineRule="auto"/>
        <w:jc w:val="both"/>
        <w:rPr>
          <w:rFonts w:ascii="Times New Roman" w:hAnsi="Times New Roman" w:cs="Times New Roman"/>
          <w:color w:val="24B1C0"/>
          <w:sz w:val="30"/>
          <w:szCs w:val="30"/>
          <w:lang w:val="bg"/>
        </w:rPr>
      </w:pPr>
      <w:bookmarkStart w:id="464" w:name="bookmark576"/>
      <w:bookmarkStart w:id="465" w:name="_Toc203141353"/>
      <w:r w:rsidRPr="00D22C79">
        <w:rPr>
          <w:rFonts w:ascii="Times New Roman" w:hAnsi="Times New Roman" w:cs="Times New Roman"/>
          <w:color w:val="24B1C0"/>
          <w:sz w:val="30"/>
          <w:szCs w:val="30"/>
          <w:lang w:val="bg"/>
        </w:rPr>
        <w:t>Заключителна конференция за представяне на резултатите от проекта, препоръките и стратегиите за мащабиране</w:t>
      </w:r>
      <w:bookmarkEnd w:id="464"/>
      <w:r w:rsidR="00D22C79">
        <w:rPr>
          <w:rFonts w:ascii="Times New Roman" w:hAnsi="Times New Roman" w:cs="Times New Roman"/>
          <w:color w:val="24B1C0"/>
          <w:sz w:val="30"/>
          <w:szCs w:val="30"/>
          <w:lang w:val="bg"/>
        </w:rPr>
        <w:t>.</w:t>
      </w:r>
      <w:bookmarkEnd w:id="465"/>
    </w:p>
    <w:p w:rsidR="006219D4" w:rsidRDefault="006219D4" w:rsidP="00B01311">
      <w:pPr>
        <w:pStyle w:val="Heading2"/>
        <w:numPr>
          <w:ilvl w:val="1"/>
          <w:numId w:val="96"/>
        </w:numPr>
        <w:jc w:val="both"/>
        <w:rPr>
          <w:rFonts w:ascii="Times New Roman" w:hAnsi="Times New Roman" w:cs="Times New Roman"/>
          <w:color w:val="24B1C0"/>
          <w:sz w:val="30"/>
          <w:szCs w:val="30"/>
          <w:lang w:val="bg-BG"/>
        </w:rPr>
      </w:pPr>
      <w:bookmarkStart w:id="466" w:name="_Toc203141354"/>
      <w:r w:rsidRPr="006219D4">
        <w:rPr>
          <w:rFonts w:ascii="Times New Roman" w:hAnsi="Times New Roman" w:cs="Times New Roman"/>
          <w:color w:val="24B1C0"/>
          <w:sz w:val="30"/>
          <w:szCs w:val="30"/>
          <w:lang w:val="bg-BG"/>
        </w:rPr>
        <w:t>Бизнес модели, които стимулират участието на заинтересованите страни</w:t>
      </w:r>
      <w:bookmarkEnd w:id="466"/>
    </w:p>
    <w:p w:rsidR="006219D4" w:rsidRPr="006219D4" w:rsidRDefault="006219D4" w:rsidP="006219D4">
      <w:pPr>
        <w:rPr>
          <w:lang w:val="bg-BG"/>
        </w:rPr>
      </w:pPr>
    </w:p>
    <w:p w:rsidR="007906A8" w:rsidRPr="00D22C79" w:rsidRDefault="007906A8" w:rsidP="006219D4">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lastRenderedPageBreak/>
        <w:t>Подходящите бизнес модели несъмнено са от решаващо значение за мотивиране на ангажираността на заинтересованите страни. В тази връзка настоящата работа се отнася до съответните бизнес модели и тяхната приложимост в български контекст.</w:t>
      </w:r>
    </w:p>
    <w:p w:rsidR="007906A8" w:rsidRPr="00D22C79" w:rsidRDefault="007906A8" w:rsidP="006219D4">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В подкрепа на финансовата устойчивост и оперативната ефективност на енергийните общности в европейските държави са използвани различни бизнес модели. В тази подглава са очертани някои ключови бизнес модели, елементи от които биха могли да бъдат от значение в българска среда.</w:t>
      </w:r>
    </w:p>
    <w:p w:rsidR="007906A8" w:rsidRPr="00D22C79" w:rsidRDefault="007906A8" w:rsidP="006219D4">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Модел </w:t>
      </w:r>
      <w:r w:rsidRPr="00D22C79">
        <w:rPr>
          <w:rFonts w:ascii="Times New Roman" w:hAnsi="Times New Roman" w:cs="Times New Roman"/>
          <w:b/>
          <w:bCs/>
          <w:sz w:val="24"/>
          <w:szCs w:val="24"/>
          <w:lang w:val="bg"/>
        </w:rPr>
        <w:t xml:space="preserve">на сътрудничество: </w:t>
      </w:r>
      <w:r w:rsidRPr="00D22C79">
        <w:rPr>
          <w:rFonts w:ascii="Times New Roman" w:hAnsi="Times New Roman" w:cs="Times New Roman"/>
          <w:sz w:val="24"/>
          <w:szCs w:val="24"/>
          <w:lang w:val="bg"/>
        </w:rPr>
        <w:t>Един от най-утвърдените бизнес модели за енергийните общности е кооперативният модел. Тази структура позволява на членовете — обикновено местни граждани и предприятия — колективно да инвестират в проекти за енергия от възобновяеми източници и да споделят ползите. Характеризира се със:</w:t>
      </w:r>
    </w:p>
    <w:p w:rsidR="006219D4" w:rsidRPr="006219D4" w:rsidRDefault="007906A8" w:rsidP="00B01311">
      <w:pPr>
        <w:pStyle w:val="ListParagraph"/>
        <w:numPr>
          <w:ilvl w:val="0"/>
          <w:numId w:val="168"/>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Демократично управление: Един член, един глас.</w:t>
      </w:r>
    </w:p>
    <w:p w:rsidR="006219D4" w:rsidRPr="006219D4" w:rsidRDefault="007906A8" w:rsidP="00B01311">
      <w:pPr>
        <w:pStyle w:val="ListParagraph"/>
        <w:numPr>
          <w:ilvl w:val="0"/>
          <w:numId w:val="168"/>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Генериране на приходи чрез продажба на електроенергия и икономии от сметките за енергия.</w:t>
      </w:r>
    </w:p>
    <w:p w:rsidR="006219D4" w:rsidRPr="006219D4" w:rsidRDefault="007906A8" w:rsidP="00B01311">
      <w:pPr>
        <w:pStyle w:val="ListParagraph"/>
        <w:numPr>
          <w:ilvl w:val="0"/>
          <w:numId w:val="168"/>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Реинвестиране на печалбите в обществени проекти или енергийна инфраструктура.</w:t>
      </w:r>
    </w:p>
    <w:p w:rsidR="007906A8" w:rsidRPr="006219D4" w:rsidRDefault="007906A8" w:rsidP="00B01311">
      <w:pPr>
        <w:pStyle w:val="ListParagraph"/>
        <w:numPr>
          <w:ilvl w:val="0"/>
          <w:numId w:val="168"/>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Примери: Ecopower в Белгия</w:t>
      </w:r>
      <w:hyperlink w:anchor="bookmark160" w:tooltip="Current Document">
        <w:r w:rsidRPr="002E2E94">
          <w:rPr>
            <w:rStyle w:val="Hyperlink"/>
            <w:rFonts w:ascii="Times New Roman" w:hAnsi="Times New Roman" w:cs="Times New Roman"/>
            <w:sz w:val="24"/>
            <w:szCs w:val="24"/>
            <w:vertAlign w:val="superscript"/>
            <w:lang w:val="bg"/>
          </w:rPr>
          <w:footnoteReference w:id="141"/>
        </w:r>
      </w:hyperlink>
      <w:r w:rsidRPr="006219D4">
        <w:rPr>
          <w:rFonts w:ascii="Times New Roman" w:hAnsi="Times New Roman" w:cs="Times New Roman"/>
          <w:sz w:val="24"/>
          <w:szCs w:val="24"/>
          <w:lang w:val="bg"/>
        </w:rPr>
        <w:t>и Som Energia в Испания.</w:t>
      </w:r>
      <w:hyperlink w:anchor="bookmark161" w:tooltip="Current Document">
        <w:r w:rsidRPr="002E2E94">
          <w:rPr>
            <w:rStyle w:val="Hyperlink"/>
            <w:rFonts w:ascii="Times New Roman" w:hAnsi="Times New Roman" w:cs="Times New Roman"/>
            <w:sz w:val="24"/>
            <w:szCs w:val="24"/>
            <w:vertAlign w:val="superscript"/>
            <w:lang w:val="bg"/>
          </w:rPr>
          <w:footnoteReference w:id="142"/>
        </w:r>
      </w:hyperlink>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Модел на </w:t>
      </w:r>
      <w:r w:rsidRPr="00D22C79">
        <w:rPr>
          <w:rFonts w:ascii="Times New Roman" w:hAnsi="Times New Roman" w:cs="Times New Roman"/>
          <w:b/>
          <w:bCs/>
          <w:sz w:val="24"/>
          <w:szCs w:val="24"/>
          <w:lang w:val="bg"/>
        </w:rPr>
        <w:t xml:space="preserve">публично-частно партньорство (ПЧП): </w:t>
      </w:r>
      <w:r w:rsidRPr="00D22C79">
        <w:rPr>
          <w:rFonts w:ascii="Times New Roman" w:hAnsi="Times New Roman" w:cs="Times New Roman"/>
          <w:sz w:val="24"/>
          <w:szCs w:val="24"/>
          <w:lang w:val="bg"/>
        </w:rPr>
        <w:t>Включва сътрудничество между местните власти, частни инвеститори и обществени групи. Общината често играе ключова роля за осигуряване на финансиране, рационализиране на регулаторните одобрения и улесняване на достъпа до мрежата. Основните предимства включват:</w:t>
      </w:r>
    </w:p>
    <w:p w:rsidR="006219D4" w:rsidRDefault="007906A8" w:rsidP="00B01311">
      <w:pPr>
        <w:pStyle w:val="ListParagraph"/>
        <w:numPr>
          <w:ilvl w:val="0"/>
          <w:numId w:val="169"/>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Достъп до публични субсидии и стимули</w:t>
      </w:r>
    </w:p>
    <w:p w:rsidR="006219D4" w:rsidRDefault="007906A8" w:rsidP="00B01311">
      <w:pPr>
        <w:pStyle w:val="ListParagraph"/>
        <w:numPr>
          <w:ilvl w:val="0"/>
          <w:numId w:val="169"/>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Повишена сигурност на инвестициите и възможност за разрастване</w:t>
      </w:r>
    </w:p>
    <w:p w:rsidR="006219D4" w:rsidRDefault="007906A8" w:rsidP="00B01311">
      <w:pPr>
        <w:pStyle w:val="ListParagraph"/>
        <w:numPr>
          <w:ilvl w:val="0"/>
          <w:numId w:val="169"/>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Способност за интегриране на по-широки цели за устойчивост, като например програми за централно отопление и енергийна ефективност</w:t>
      </w:r>
    </w:p>
    <w:p w:rsidR="007906A8" w:rsidRPr="006219D4" w:rsidRDefault="007906A8" w:rsidP="00B01311">
      <w:pPr>
        <w:pStyle w:val="ListParagraph"/>
        <w:numPr>
          <w:ilvl w:val="0"/>
          <w:numId w:val="169"/>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Пример: Практикувана, наред с другото, в рамките на проектите за LEC, изпълнявани от Energiequelle в Германия</w:t>
      </w:r>
      <w:hyperlink w:anchor="bookmark162" w:tooltip="Current Document">
        <w:r w:rsidRPr="002E2E94">
          <w:rPr>
            <w:rStyle w:val="Hyperlink"/>
            <w:rFonts w:ascii="Times New Roman" w:hAnsi="Times New Roman" w:cs="Times New Roman"/>
            <w:sz w:val="24"/>
            <w:szCs w:val="24"/>
            <w:vertAlign w:val="superscript"/>
            <w:lang w:val="bg"/>
          </w:rPr>
          <w:footnoteReference w:id="143"/>
        </w:r>
      </w:hyperlink>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Модел, основан на </w:t>
      </w:r>
      <w:r w:rsidRPr="00D22C79">
        <w:rPr>
          <w:rFonts w:ascii="Times New Roman" w:hAnsi="Times New Roman" w:cs="Times New Roman"/>
          <w:b/>
          <w:bCs/>
          <w:sz w:val="24"/>
          <w:szCs w:val="24"/>
          <w:lang w:val="bg"/>
        </w:rPr>
        <w:t xml:space="preserve">производители потребители: </w:t>
      </w:r>
      <w:r w:rsidRPr="00D22C79">
        <w:rPr>
          <w:rFonts w:ascii="Times New Roman" w:hAnsi="Times New Roman" w:cs="Times New Roman"/>
          <w:sz w:val="24"/>
          <w:szCs w:val="24"/>
          <w:lang w:val="bg"/>
        </w:rPr>
        <w:t>В този модел членовете на енергийната общност действат както като производители, така и като потребители на електроенергия. Чрез платформите за търговия peer-to-peer (P2P) излишната енергия, генерирана от покривни слънчеви или вятърни инсталации, се споделя в рамките на общността. Основни характеристики:</w:t>
      </w:r>
    </w:p>
    <w:p w:rsidR="006219D4" w:rsidRDefault="007906A8" w:rsidP="00B01311">
      <w:pPr>
        <w:pStyle w:val="ListParagraph"/>
        <w:numPr>
          <w:ilvl w:val="0"/>
          <w:numId w:val="170"/>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Използване на блокчейн или цифрови платформи, за да се даде възможност за прозрачни трансакции</w:t>
      </w:r>
    </w:p>
    <w:p w:rsidR="006219D4" w:rsidRDefault="007906A8" w:rsidP="00B01311">
      <w:pPr>
        <w:pStyle w:val="ListParagraph"/>
        <w:numPr>
          <w:ilvl w:val="0"/>
          <w:numId w:val="170"/>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Намалена зависимост от традиционните комунални услуги</w:t>
      </w:r>
    </w:p>
    <w:p w:rsidR="006219D4" w:rsidRDefault="007906A8" w:rsidP="00B01311">
      <w:pPr>
        <w:pStyle w:val="ListParagraph"/>
        <w:numPr>
          <w:ilvl w:val="0"/>
          <w:numId w:val="170"/>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Повишена енергийна автономност и устойчивост на мрежата</w:t>
      </w:r>
    </w:p>
    <w:p w:rsidR="007906A8" w:rsidRPr="006219D4" w:rsidRDefault="007906A8" w:rsidP="00B01311">
      <w:pPr>
        <w:pStyle w:val="ListParagraph"/>
        <w:numPr>
          <w:ilvl w:val="0"/>
          <w:numId w:val="170"/>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Пример: Powerpeers в Холандия</w:t>
      </w:r>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Модел </w:t>
      </w:r>
      <w:r w:rsidRPr="00D22C79">
        <w:rPr>
          <w:rFonts w:ascii="Times New Roman" w:hAnsi="Times New Roman" w:cs="Times New Roman"/>
          <w:b/>
          <w:bCs/>
          <w:sz w:val="24"/>
          <w:szCs w:val="24"/>
          <w:lang w:val="bg"/>
        </w:rPr>
        <w:t xml:space="preserve">„Енергията като услуга“ (EaaS): Моделът </w:t>
      </w:r>
      <w:r w:rsidRPr="00D22C79">
        <w:rPr>
          <w:rFonts w:ascii="Times New Roman" w:hAnsi="Times New Roman" w:cs="Times New Roman"/>
          <w:sz w:val="24"/>
          <w:szCs w:val="24"/>
          <w:lang w:val="bg"/>
        </w:rPr>
        <w:t xml:space="preserve">EaaS предоставя на общностите решения за енергия от възобновяеми източници, без да изисква предварителни капиталови </w:t>
      </w:r>
      <w:r w:rsidRPr="00D22C79">
        <w:rPr>
          <w:rFonts w:ascii="Times New Roman" w:hAnsi="Times New Roman" w:cs="Times New Roman"/>
          <w:sz w:val="24"/>
          <w:szCs w:val="24"/>
          <w:lang w:val="bg"/>
        </w:rPr>
        <w:lastRenderedPageBreak/>
        <w:t>инвестиции. Доставчици на трети страни инсталират и поддържат слънчеви панели, вятърни турбини или системи за съхранение, докато общностите плащат за произведената електроенергия. Основни ползи:</w:t>
      </w:r>
    </w:p>
    <w:p w:rsidR="006219D4" w:rsidRDefault="007906A8" w:rsidP="00B01311">
      <w:pPr>
        <w:pStyle w:val="ListParagraph"/>
        <w:numPr>
          <w:ilvl w:val="0"/>
          <w:numId w:val="171"/>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Няма нужда от големи първоначални инвестиции.</w:t>
      </w:r>
    </w:p>
    <w:p w:rsidR="006219D4" w:rsidRDefault="007906A8" w:rsidP="00B01311">
      <w:pPr>
        <w:pStyle w:val="ListParagraph"/>
        <w:numPr>
          <w:ilvl w:val="0"/>
          <w:numId w:val="171"/>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Предвидими разходи за енергия чрез ценообразуване въз основа на абонамент.</w:t>
      </w:r>
    </w:p>
    <w:p w:rsidR="006219D4" w:rsidRDefault="007906A8" w:rsidP="00B01311">
      <w:pPr>
        <w:pStyle w:val="ListParagraph"/>
        <w:numPr>
          <w:ilvl w:val="0"/>
          <w:numId w:val="171"/>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Потенциално обвързване с управлението на потреблението и услугите за интелигентни електроенергийни мрежи.</w:t>
      </w:r>
    </w:p>
    <w:p w:rsidR="007906A8" w:rsidRPr="006219D4" w:rsidRDefault="007906A8" w:rsidP="00B01311">
      <w:pPr>
        <w:pStyle w:val="ListParagraph"/>
        <w:numPr>
          <w:ilvl w:val="0"/>
          <w:numId w:val="171"/>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Пример: Район Hyllie в Малмьо, Швеция, където инвестицията е осъществена от E.ON</w:t>
      </w:r>
      <w:hyperlink w:anchor="bookmark163" w:tooltip="Current Document">
        <w:r w:rsidRPr="002E2E94">
          <w:rPr>
            <w:rStyle w:val="Hyperlink"/>
            <w:rFonts w:ascii="Times New Roman" w:hAnsi="Times New Roman" w:cs="Times New Roman"/>
            <w:sz w:val="24"/>
            <w:szCs w:val="24"/>
            <w:vertAlign w:val="superscript"/>
            <w:lang w:val="bg"/>
          </w:rPr>
          <w:footnoteReference w:id="144"/>
        </w:r>
      </w:hyperlink>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Модел на </w:t>
      </w:r>
      <w:r w:rsidRPr="00D22C79">
        <w:rPr>
          <w:rFonts w:ascii="Times New Roman" w:hAnsi="Times New Roman" w:cs="Times New Roman"/>
          <w:b/>
          <w:bCs/>
          <w:sz w:val="24"/>
          <w:szCs w:val="24"/>
          <w:lang w:val="bg"/>
        </w:rPr>
        <w:t xml:space="preserve">агрегиране и оптимизация на потреблението: </w:t>
      </w:r>
      <w:r w:rsidRPr="00D22C79">
        <w:rPr>
          <w:rFonts w:ascii="Times New Roman" w:hAnsi="Times New Roman" w:cs="Times New Roman"/>
          <w:sz w:val="24"/>
          <w:szCs w:val="24"/>
          <w:lang w:val="bg"/>
        </w:rPr>
        <w:t>Това е доста амбициозен и понастоящем предимно проверен от научните изследвания бизнес модел. Тук</w:t>
      </w:r>
      <w:r w:rsidRPr="00D22C79">
        <w:rPr>
          <w:rFonts w:ascii="Times New Roman" w:hAnsi="Times New Roman" w:cs="Times New Roman"/>
          <w:b/>
          <w:bCs/>
          <w:sz w:val="24"/>
          <w:szCs w:val="24"/>
          <w:lang w:val="bg"/>
        </w:rPr>
        <w:t xml:space="preserve">енергийните </w:t>
      </w:r>
      <w:r w:rsidRPr="00D22C79">
        <w:rPr>
          <w:rFonts w:ascii="Times New Roman" w:hAnsi="Times New Roman" w:cs="Times New Roman"/>
          <w:sz w:val="24"/>
          <w:szCs w:val="24"/>
          <w:lang w:val="bg"/>
        </w:rPr>
        <w:t>общности могат да действат като агрегатори, като обединяват енергийни ресурси от множество членове, за да участват на пазарите за гъвкавост. Стратегиите за реакция на търсенето позволяват на общностите да коригират моделите на потребление въз основа на нуждите на мрежата и пазарните цени. Характеристиките включват:</w:t>
      </w:r>
    </w:p>
    <w:p w:rsidR="006219D4" w:rsidRDefault="007906A8" w:rsidP="00B01311">
      <w:pPr>
        <w:pStyle w:val="ListParagraph"/>
        <w:numPr>
          <w:ilvl w:val="0"/>
          <w:numId w:val="172"/>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Генериране на приходи чрез участие в балансиращи и спомагателни услуги</w:t>
      </w:r>
    </w:p>
    <w:p w:rsidR="006219D4" w:rsidRDefault="007906A8" w:rsidP="00B01311">
      <w:pPr>
        <w:pStyle w:val="ListParagraph"/>
        <w:numPr>
          <w:ilvl w:val="0"/>
          <w:numId w:val="172"/>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Използване на интелигентни измервателни уреди и автоматизация за оптимизиране на потреблението на енергия</w:t>
      </w:r>
    </w:p>
    <w:p w:rsidR="006219D4" w:rsidRDefault="007906A8" w:rsidP="00B01311">
      <w:pPr>
        <w:pStyle w:val="ListParagraph"/>
        <w:numPr>
          <w:ilvl w:val="0"/>
          <w:numId w:val="172"/>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Повишена стабилност и ефективност на местната енергийна система</w:t>
      </w:r>
    </w:p>
    <w:p w:rsidR="007906A8" w:rsidRPr="002E2E94" w:rsidRDefault="007906A8" w:rsidP="00B01311">
      <w:pPr>
        <w:pStyle w:val="ListParagraph"/>
        <w:numPr>
          <w:ilvl w:val="0"/>
          <w:numId w:val="172"/>
        </w:numPr>
        <w:spacing w:line="276" w:lineRule="auto"/>
        <w:jc w:val="both"/>
        <w:rPr>
          <w:rFonts w:ascii="Times New Roman" w:hAnsi="Times New Roman" w:cs="Times New Roman"/>
          <w:sz w:val="24"/>
          <w:szCs w:val="24"/>
          <w:vertAlign w:val="superscript"/>
          <w:lang w:val="bg"/>
        </w:rPr>
      </w:pPr>
      <w:r w:rsidRPr="006219D4">
        <w:rPr>
          <w:rFonts w:ascii="Times New Roman" w:hAnsi="Times New Roman" w:cs="Times New Roman"/>
          <w:sz w:val="24"/>
          <w:szCs w:val="24"/>
          <w:lang w:val="bg"/>
        </w:rPr>
        <w:t>Пример: Проект FLEXCoop в ЕС</w:t>
      </w:r>
      <w:hyperlink w:anchor="bookmark164" w:tooltip="Current Document">
        <w:r w:rsidRPr="002E2E94">
          <w:rPr>
            <w:rStyle w:val="Hyperlink"/>
            <w:rFonts w:ascii="Times New Roman" w:hAnsi="Times New Roman" w:cs="Times New Roman"/>
            <w:sz w:val="24"/>
            <w:szCs w:val="24"/>
            <w:vertAlign w:val="superscript"/>
            <w:lang w:val="bg"/>
          </w:rPr>
          <w:footnoteReference w:id="145"/>
        </w:r>
      </w:hyperlink>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b/>
          <w:bCs/>
          <w:sz w:val="24"/>
          <w:szCs w:val="24"/>
          <w:lang w:val="bg"/>
        </w:rPr>
        <w:t xml:space="preserve">Местен модел за енергийни доставки и търговия на дребно: </w:t>
      </w:r>
      <w:r w:rsidRPr="00D22C79">
        <w:rPr>
          <w:rFonts w:ascii="Times New Roman" w:hAnsi="Times New Roman" w:cs="Times New Roman"/>
          <w:sz w:val="24"/>
          <w:szCs w:val="24"/>
          <w:lang w:val="bg"/>
        </w:rPr>
        <w:t>Този бизнес модел се отнася до амбицията на енергийните общности да създадат свои собствени местни дружества за доставка на енергия, което им позволява да купуват и продават електроенергия директно. Този модел все още рядко може да се види, тъй като изисква процес на лицензиране и споразумения за достъп до мрежата, но предлага:</w:t>
      </w:r>
    </w:p>
    <w:p w:rsidR="006219D4" w:rsidRDefault="007906A8" w:rsidP="00B01311">
      <w:pPr>
        <w:pStyle w:val="ListParagraph"/>
        <w:numPr>
          <w:ilvl w:val="0"/>
          <w:numId w:val="173"/>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Местен ценови контрол и персонализиране на тарифите</w:t>
      </w:r>
    </w:p>
    <w:p w:rsidR="006219D4" w:rsidRDefault="007906A8" w:rsidP="00B01311">
      <w:pPr>
        <w:pStyle w:val="ListParagraph"/>
        <w:numPr>
          <w:ilvl w:val="0"/>
          <w:numId w:val="173"/>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Подобрено задържане на енергия в рамките на общността</w:t>
      </w:r>
    </w:p>
    <w:p w:rsidR="006219D4" w:rsidRDefault="007906A8" w:rsidP="00B01311">
      <w:pPr>
        <w:pStyle w:val="ListParagraph"/>
        <w:numPr>
          <w:ilvl w:val="0"/>
          <w:numId w:val="173"/>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Икономически ползи чрез създаване на работни места и местни инвестиции</w:t>
      </w:r>
    </w:p>
    <w:p w:rsidR="007906A8" w:rsidRPr="006219D4" w:rsidRDefault="007906A8" w:rsidP="00B01311">
      <w:pPr>
        <w:pStyle w:val="ListParagraph"/>
        <w:numPr>
          <w:ilvl w:val="0"/>
          <w:numId w:val="173"/>
        </w:numPr>
        <w:spacing w:line="276" w:lineRule="auto"/>
        <w:jc w:val="both"/>
        <w:rPr>
          <w:rFonts w:ascii="Times New Roman" w:hAnsi="Times New Roman" w:cs="Times New Roman"/>
          <w:sz w:val="24"/>
          <w:szCs w:val="24"/>
          <w:lang w:val="bg"/>
        </w:rPr>
      </w:pPr>
      <w:r w:rsidRPr="006219D4">
        <w:rPr>
          <w:rFonts w:ascii="Times New Roman" w:hAnsi="Times New Roman" w:cs="Times New Roman"/>
          <w:sz w:val="24"/>
          <w:szCs w:val="24"/>
          <w:lang w:val="bg"/>
        </w:rPr>
        <w:t>Пример: Bürgerwerke в Германия</w:t>
      </w:r>
      <w:hyperlink w:anchor="bookmark165" w:tooltip="Current Document">
        <w:r w:rsidRPr="00D22C79">
          <w:rPr>
            <w:rStyle w:val="Hyperlink"/>
            <w:rFonts w:ascii="Times New Roman" w:hAnsi="Times New Roman" w:cs="Times New Roman"/>
            <w:sz w:val="24"/>
            <w:szCs w:val="24"/>
            <w:lang w:val="bg"/>
          </w:rPr>
          <w:footnoteReference w:id="146"/>
        </w:r>
      </w:hyperlink>
    </w:p>
    <w:p w:rsidR="007906A8" w:rsidRPr="00D22C79" w:rsidRDefault="007906A8" w:rsidP="00D22C79">
      <w:pPr>
        <w:spacing w:line="276" w:lineRule="auto"/>
        <w:jc w:val="both"/>
        <w:rPr>
          <w:rFonts w:ascii="Times New Roman" w:hAnsi="Times New Roman" w:cs="Times New Roman"/>
          <w:sz w:val="24"/>
          <w:szCs w:val="24"/>
          <w:lang w:val="bg"/>
        </w:rPr>
      </w:pPr>
    </w:p>
    <w:p w:rsidR="007906A8" w:rsidRDefault="00D22C79" w:rsidP="00D22C79">
      <w:pPr>
        <w:pStyle w:val="Heading3"/>
        <w:spacing w:line="276" w:lineRule="auto"/>
        <w:jc w:val="both"/>
        <w:rPr>
          <w:rFonts w:ascii="Times New Roman" w:hAnsi="Times New Roman" w:cs="Times New Roman"/>
          <w:color w:val="24B1C0"/>
          <w:sz w:val="28"/>
          <w:szCs w:val="28"/>
          <w:lang w:val="bg"/>
        </w:rPr>
      </w:pPr>
      <w:bookmarkStart w:id="473" w:name="bookmark580"/>
      <w:bookmarkStart w:id="474" w:name="_Toc203141355"/>
      <w:r>
        <w:rPr>
          <w:rFonts w:ascii="Times New Roman" w:hAnsi="Times New Roman" w:cs="Times New Roman"/>
          <w:color w:val="24B1C0"/>
          <w:sz w:val="28"/>
          <w:szCs w:val="28"/>
          <w:lang w:val="bg"/>
        </w:rPr>
        <w:t xml:space="preserve">8.4.1 </w:t>
      </w:r>
      <w:r w:rsidR="007906A8" w:rsidRPr="00D22C79">
        <w:rPr>
          <w:rFonts w:ascii="Times New Roman" w:hAnsi="Times New Roman" w:cs="Times New Roman"/>
          <w:color w:val="24B1C0"/>
          <w:sz w:val="28"/>
          <w:szCs w:val="28"/>
          <w:lang w:val="bg"/>
        </w:rPr>
        <w:t>Пригодност на бизнес моделите в български контекст</w:t>
      </w:r>
      <w:bookmarkEnd w:id="473"/>
      <w:bookmarkEnd w:id="474"/>
    </w:p>
    <w:p w:rsidR="00D22C79" w:rsidRPr="00D22C79" w:rsidRDefault="00D22C79" w:rsidP="00D22C79">
      <w:pPr>
        <w:rPr>
          <w:lang w:val="bg"/>
        </w:rPr>
      </w:pPr>
    </w:p>
    <w:p w:rsidR="00D22C79"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Енергийните общности в България все още са в ранен етап на развитие и са изправени пред редица регулаторни, финансови и технически пречки. Като се имат предвид обратната информация, получена от малкото съществуващи ЕК в страната, и опитът, събран в по-широ</w:t>
      </w:r>
      <w:r w:rsidR="00D22C79">
        <w:rPr>
          <w:rFonts w:ascii="Times New Roman" w:hAnsi="Times New Roman" w:cs="Times New Roman"/>
          <w:sz w:val="24"/>
          <w:szCs w:val="24"/>
          <w:lang w:val="bg"/>
        </w:rPr>
        <w:t xml:space="preserve">к кръг от „европейски най-добри </w:t>
      </w:r>
      <w:r w:rsidR="00D22C79" w:rsidRPr="00D22C79">
        <w:rPr>
          <w:rFonts w:ascii="Times New Roman" w:hAnsi="Times New Roman" w:cs="Times New Roman"/>
          <w:sz w:val="24"/>
          <w:szCs w:val="24"/>
          <w:lang w:val="bg"/>
        </w:rPr>
        <w:t>от гледна точка на практиките е възможно няколко от описаните по-горе модели да се считат за подходящи.</w:t>
      </w:r>
    </w:p>
    <w:p w:rsidR="00D22C79" w:rsidRPr="00D22C79" w:rsidRDefault="00D22C79"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lastRenderedPageBreak/>
        <w:t xml:space="preserve">Като се има предвид необходимостта от колективна ангажираност на гражданите и споделени инвестиции, </w:t>
      </w:r>
      <w:r w:rsidRPr="00D22C79">
        <w:rPr>
          <w:rFonts w:ascii="Times New Roman" w:hAnsi="Times New Roman" w:cs="Times New Roman"/>
          <w:b/>
          <w:bCs/>
          <w:sz w:val="24"/>
          <w:szCs w:val="24"/>
          <w:lang w:val="bg"/>
        </w:rPr>
        <w:t xml:space="preserve">моделът на сътрудничество </w:t>
      </w:r>
      <w:r w:rsidRPr="00D22C79">
        <w:rPr>
          <w:rFonts w:ascii="Times New Roman" w:hAnsi="Times New Roman" w:cs="Times New Roman"/>
          <w:sz w:val="24"/>
          <w:szCs w:val="24"/>
          <w:lang w:val="bg"/>
        </w:rPr>
        <w:t>може да се счита за подходящ. Тя дава възможност за демократично управление (един член, един глас), финансова устойчивост чрез продажби на енергия и реинвестиране в местни проекти. Кооперациите могат да помогнат за преодоляване на финансовите пречки чрез обединяване на ресурси, особено в селските и малките градски райони, където местната ангажираност е от ключово значение за доверието и участието.</w:t>
      </w:r>
    </w:p>
    <w:p w:rsidR="00D22C79" w:rsidRPr="00D22C79" w:rsidRDefault="00D22C79"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След това, като се има предвид ограниченият достъп на България до финансиране за нови проекти за енергия от възобновяеми източници, </w:t>
      </w:r>
      <w:r w:rsidRPr="00D22C79">
        <w:rPr>
          <w:rFonts w:ascii="Times New Roman" w:hAnsi="Times New Roman" w:cs="Times New Roman"/>
          <w:b/>
          <w:bCs/>
          <w:sz w:val="24"/>
          <w:szCs w:val="24"/>
          <w:lang w:val="bg"/>
        </w:rPr>
        <w:t xml:space="preserve">моделът EaaS </w:t>
      </w:r>
      <w:r w:rsidRPr="00D22C79">
        <w:rPr>
          <w:rFonts w:ascii="Times New Roman" w:hAnsi="Times New Roman" w:cs="Times New Roman"/>
          <w:sz w:val="24"/>
          <w:szCs w:val="24"/>
          <w:lang w:val="bg"/>
        </w:rPr>
        <w:t>би могъл да позволи на трети страни доставчици да инсталират и управляват системи за енергия от възобновяеми източници, докато общностите плащат за потребената енергия чрез фиксирани такси или договори, основани на резултатите. Този модел намалява първоначалните инвестиции, изисквани от гражданите и общините, като улеснява общностите да приемат енергия от възобновяеми източници без финансови пречки.</w:t>
      </w:r>
    </w:p>
    <w:p w:rsidR="00E66962" w:rsidRPr="00E66962" w:rsidRDefault="00E66962" w:rsidP="00E66962">
      <w:p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Също така би било много полезно да се подчертае необходимостта от държавна и общинска подкрепа за насърчаване на енергийните общности — </w:t>
      </w:r>
      <w:r w:rsidRPr="00E66962">
        <w:rPr>
          <w:rFonts w:ascii="Times New Roman" w:hAnsi="Times New Roman" w:cs="Times New Roman"/>
          <w:b/>
          <w:bCs/>
          <w:sz w:val="24"/>
          <w:szCs w:val="24"/>
          <w:lang w:val="bg"/>
        </w:rPr>
        <w:t>модел на ПЧП,</w:t>
      </w:r>
      <w:r w:rsidRPr="00E66962">
        <w:rPr>
          <w:rFonts w:ascii="Times New Roman" w:hAnsi="Times New Roman" w:cs="Times New Roman"/>
          <w:sz w:val="24"/>
          <w:szCs w:val="24"/>
          <w:lang w:val="bg"/>
        </w:rPr>
        <w:t xml:space="preserve"> при който местните органи на управление предоставят регулаторна и инфраструктурна подкрепа, докато частните инвеститори и местните предприятия предлагат финансиране и експертен опит. Общините биха могли да разпределят обществени пространства за слънчеви или вятърни инсталации и да улеснят достъпа до мрежата. Този модел е в съответствие с най-добрите практики в Нидерландия и Австрия, където публичните институции дават приоритет на закупуването на енергия от местните общности.</w:t>
      </w:r>
    </w:p>
    <w:p w:rsidR="00E66962" w:rsidRPr="00E66962" w:rsidRDefault="00E66962" w:rsidP="00E66962">
      <w:p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И накрая, въпреки пречките, свързани с достъпа до мрежата, интелигентното отчитане и разпоредбите за споделяне на енергия, </w:t>
      </w:r>
      <w:r w:rsidRPr="00E66962">
        <w:rPr>
          <w:rFonts w:ascii="Times New Roman" w:hAnsi="Times New Roman" w:cs="Times New Roman"/>
          <w:b/>
          <w:bCs/>
          <w:sz w:val="24"/>
          <w:szCs w:val="24"/>
          <w:lang w:val="bg"/>
        </w:rPr>
        <w:t xml:space="preserve">моделът за споделяне на енергия между партньори (P2P) </w:t>
      </w:r>
      <w:r w:rsidRPr="00E66962">
        <w:rPr>
          <w:rFonts w:ascii="Times New Roman" w:hAnsi="Times New Roman" w:cs="Times New Roman"/>
          <w:sz w:val="24"/>
          <w:szCs w:val="24"/>
          <w:lang w:val="bg"/>
        </w:rPr>
        <w:t>би могъл да работи, ако бъдат направени технически и регулаторни подобрения, като например инсталиране на интелигентни измервателни уреди и местни платформи за обмен на енергия. За реализирането на тези модели българското правителство следва също така да осигури по-ясни политики за споделяне на енергия, както се вижда в Испания и Гърция, където произвеждащите потребители могат да търгуват с излишната електроенергия на справедливи цени.</w:t>
      </w:r>
    </w:p>
    <w:p w:rsidR="00E66962" w:rsidRPr="007906A8" w:rsidRDefault="00E66962" w:rsidP="00D22C79">
      <w:pPr>
        <w:spacing w:line="276" w:lineRule="auto"/>
        <w:jc w:val="both"/>
        <w:rPr>
          <w:lang w:val="bg"/>
        </w:rPr>
        <w:sectPr w:rsidR="00E66962" w:rsidRPr="007906A8" w:rsidSect="006971CE">
          <w:footerReference w:type="even" r:id="rId67"/>
          <w:footerReference w:type="default" r:id="rId68"/>
          <w:pgSz w:w="12211" w:h="17419"/>
          <w:pgMar w:top="1417" w:right="1417" w:bottom="1417" w:left="1417" w:header="1536" w:footer="57" w:gutter="0"/>
          <w:cols w:space="720"/>
          <w:noEndnote/>
          <w:docGrid w:linePitch="360"/>
        </w:sectPr>
      </w:pPr>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lastRenderedPageBreak/>
        <w:t>Реализацията и възприемането на различните бизнес модели ще зависи от правните и регулаторни ограничения, съществуващите финансови бариери, техническите предизвикателства и обществената осведоменост и доверие. Действащите български разпоредби ограничават проектите за енергия от възобновяеми източници до градските райони, като ограничават възможностите за по-мащабни вятърни и слънчеви паркове, изградени чрез подход на енергийна общност. Достъпът до банкови заеми и инвестиционен капитал е ограничен, а недостатъчното разпространение на интелигентното измерване и интегрирането на електроенергийната мрежа е ключов въпрос. Като се има предвид ограниченият опит на България с енергийните общности, един кооперативен модел би могъл да бъде най-успешен в изграждането на доверие и насърчаването на гражданското участие, както доказа установената в Габрово енергийна общност.</w:t>
      </w:r>
    </w:p>
    <w:p w:rsidR="007906A8" w:rsidRDefault="007906A8" w:rsidP="007906A8">
      <w:pPr>
        <w:rPr>
          <w:lang w:val="bg"/>
        </w:rPr>
      </w:pPr>
    </w:p>
    <w:p w:rsidR="00A735FC" w:rsidRPr="00A735FC" w:rsidRDefault="00E66962" w:rsidP="00A735FC">
      <w:pPr>
        <w:pStyle w:val="Heading1"/>
        <w:spacing w:line="276" w:lineRule="auto"/>
        <w:jc w:val="both"/>
        <w:rPr>
          <w:rFonts w:ascii="Times New Roman" w:hAnsi="Times New Roman" w:cs="Times New Roman"/>
          <w:color w:val="24B1C0"/>
        </w:rPr>
      </w:pPr>
      <w:bookmarkStart w:id="475" w:name="_Toc203141356"/>
      <w:r w:rsidRPr="00A735FC">
        <w:rPr>
          <w:rFonts w:ascii="Times New Roman" w:hAnsi="Times New Roman" w:cs="Times New Roman"/>
          <w:color w:val="24B1C0"/>
        </w:rPr>
        <w:t xml:space="preserve">9 </w:t>
      </w:r>
      <w:r w:rsidR="00A735FC">
        <w:rPr>
          <w:rFonts w:ascii="Times New Roman" w:hAnsi="Times New Roman" w:cs="Times New Roman"/>
          <w:color w:val="24B1C0"/>
          <w:lang w:val="bg-BG"/>
        </w:rPr>
        <w:t xml:space="preserve"> </w:t>
      </w:r>
      <w:r w:rsidRPr="00A735FC">
        <w:rPr>
          <w:rFonts w:ascii="Times New Roman" w:hAnsi="Times New Roman" w:cs="Times New Roman"/>
          <w:color w:val="24B1C0"/>
        </w:rPr>
        <w:t>Препоръки</w:t>
      </w:r>
      <w:bookmarkEnd w:id="475"/>
    </w:p>
    <w:p w:rsidR="00E66962" w:rsidRPr="00E66962" w:rsidRDefault="00E66962" w:rsidP="00E66962">
      <w:pPr>
        <w:rPr>
          <w:lang w:val="bg"/>
        </w:rPr>
      </w:pPr>
    </w:p>
    <w:p w:rsidR="00E66962" w:rsidRPr="00E66962" w:rsidRDefault="00E66962" w:rsidP="00E66962">
      <w:p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Сравнителният анализ между България, Норвегия и други европейски държави разкри области за регулаторни, технически, стратегически и икономически подобрения. Като водеща рамка може да послужи успешното интегриране на повече енергийни общности в България, като се използва успехът на Норвегия в овластяването на крайните потребители чрез ясни разпоредби, интелигентно отчитане, либерализиран пазар и всеобхватен достъп до данни чрез платформата Elhub. Следващите препоръки очертават ключови области на действие за АУЕР и българското Министерство на енергетиката.</w:t>
      </w:r>
    </w:p>
    <w:p w:rsidR="00E66962" w:rsidRDefault="00E66962" w:rsidP="00E66962">
      <w:pPr>
        <w:pStyle w:val="Heading2"/>
        <w:spacing w:line="276" w:lineRule="auto"/>
        <w:jc w:val="both"/>
        <w:rPr>
          <w:rFonts w:ascii="Times New Roman" w:hAnsi="Times New Roman" w:cs="Times New Roman"/>
          <w:color w:val="24B1C0"/>
          <w:sz w:val="30"/>
          <w:szCs w:val="30"/>
          <w:lang w:val="bg"/>
        </w:rPr>
      </w:pPr>
      <w:bookmarkStart w:id="476" w:name="bookmark584"/>
      <w:bookmarkStart w:id="477" w:name="_Toc203141357"/>
      <w:r>
        <w:rPr>
          <w:rFonts w:ascii="Times New Roman" w:hAnsi="Times New Roman" w:cs="Times New Roman"/>
          <w:color w:val="24B1C0"/>
          <w:sz w:val="30"/>
          <w:szCs w:val="30"/>
          <w:lang w:val="bg"/>
        </w:rPr>
        <w:t xml:space="preserve">9.1 </w:t>
      </w:r>
      <w:r w:rsidRPr="00E66962">
        <w:rPr>
          <w:rFonts w:ascii="Times New Roman" w:hAnsi="Times New Roman" w:cs="Times New Roman"/>
          <w:color w:val="24B1C0"/>
          <w:sz w:val="30"/>
          <w:szCs w:val="30"/>
          <w:lang w:val="bg"/>
        </w:rPr>
        <w:t>Основни правни препоръки, произтичащи от оценката на правните пропуски</w:t>
      </w:r>
      <w:bookmarkEnd w:id="476"/>
      <w:bookmarkEnd w:id="477"/>
    </w:p>
    <w:p w:rsidR="00E66962" w:rsidRPr="00E66962" w:rsidRDefault="00E66962" w:rsidP="00E66962">
      <w:pPr>
        <w:pStyle w:val="Heading2"/>
        <w:spacing w:line="276" w:lineRule="auto"/>
        <w:jc w:val="both"/>
        <w:rPr>
          <w:rFonts w:ascii="Times New Roman" w:hAnsi="Times New Roman" w:cs="Times New Roman"/>
          <w:color w:val="24B1C0"/>
          <w:sz w:val="30"/>
          <w:szCs w:val="30"/>
          <w:lang w:val="bg"/>
        </w:rPr>
      </w:pPr>
    </w:p>
    <w:p w:rsidR="00E66962" w:rsidRPr="00E66962" w:rsidRDefault="00E66962" w:rsidP="00E66962">
      <w:pPr>
        <w:pStyle w:val="Heading3"/>
        <w:spacing w:line="276" w:lineRule="auto"/>
        <w:jc w:val="both"/>
        <w:rPr>
          <w:rFonts w:ascii="Times New Roman" w:hAnsi="Times New Roman" w:cs="Times New Roman"/>
          <w:color w:val="24B1C0"/>
          <w:sz w:val="28"/>
          <w:szCs w:val="28"/>
          <w:lang w:val="bg"/>
        </w:rPr>
      </w:pPr>
      <w:bookmarkStart w:id="478" w:name="bookmark586"/>
      <w:bookmarkStart w:id="479" w:name="_Toc203141358"/>
      <w:r>
        <w:rPr>
          <w:rFonts w:ascii="Times New Roman" w:hAnsi="Times New Roman" w:cs="Times New Roman"/>
          <w:color w:val="24B1C0"/>
          <w:sz w:val="28"/>
          <w:szCs w:val="28"/>
          <w:lang w:val="bg"/>
        </w:rPr>
        <w:t xml:space="preserve">9.1.1 </w:t>
      </w:r>
      <w:r w:rsidRPr="00E66962">
        <w:rPr>
          <w:rFonts w:ascii="Times New Roman" w:hAnsi="Times New Roman" w:cs="Times New Roman"/>
          <w:color w:val="24B1C0"/>
          <w:sz w:val="28"/>
          <w:szCs w:val="28"/>
          <w:lang w:val="bg"/>
        </w:rPr>
        <w:t>Правна форма и признаване</w:t>
      </w:r>
      <w:bookmarkEnd w:id="478"/>
      <w:bookmarkEnd w:id="479"/>
    </w:p>
    <w:p w:rsidR="00E66962" w:rsidRPr="00E66962" w:rsidRDefault="00E66962" w:rsidP="00E66962">
      <w:pPr>
        <w:rPr>
          <w:lang w:val="bg"/>
        </w:rPr>
      </w:pPr>
    </w:p>
    <w:p w:rsidR="00E66962" w:rsidRDefault="00E66962" w:rsidP="00E66962">
      <w:p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България следва да въведе специално правно определение и признаване на енергийните общности съгласно </w:t>
      </w:r>
      <w:r w:rsidRPr="00E66962">
        <w:rPr>
          <w:rFonts w:ascii="Times New Roman" w:hAnsi="Times New Roman" w:cs="Times New Roman"/>
          <w:b/>
          <w:bCs/>
          <w:sz w:val="24"/>
          <w:szCs w:val="24"/>
          <w:lang w:val="bg"/>
        </w:rPr>
        <w:t xml:space="preserve">Закона за енергетиката и Закона </w:t>
      </w:r>
      <w:r w:rsidRPr="00E66962">
        <w:rPr>
          <w:rFonts w:ascii="Times New Roman" w:hAnsi="Times New Roman" w:cs="Times New Roman"/>
          <w:sz w:val="24"/>
          <w:szCs w:val="24"/>
          <w:lang w:val="bg"/>
        </w:rPr>
        <w:t xml:space="preserve">за </w:t>
      </w:r>
      <w:r w:rsidRPr="00E66962">
        <w:rPr>
          <w:rFonts w:ascii="Times New Roman" w:hAnsi="Times New Roman" w:cs="Times New Roman"/>
          <w:b/>
          <w:bCs/>
          <w:sz w:val="24"/>
          <w:szCs w:val="24"/>
          <w:lang w:val="bg"/>
        </w:rPr>
        <w:t>ВЕИ.</w:t>
      </w:r>
      <w:r w:rsidRPr="00E66962">
        <w:rPr>
          <w:rFonts w:ascii="Times New Roman" w:hAnsi="Times New Roman" w:cs="Times New Roman"/>
          <w:sz w:val="24"/>
          <w:szCs w:val="24"/>
          <w:lang w:val="bg"/>
        </w:rPr>
        <w:t xml:space="preserve"> Това следва да създаде </w:t>
      </w:r>
      <w:r w:rsidRPr="00E66962">
        <w:rPr>
          <w:rFonts w:ascii="Times New Roman" w:hAnsi="Times New Roman" w:cs="Times New Roman"/>
          <w:sz w:val="24"/>
          <w:szCs w:val="24"/>
        </w:rPr>
        <w:t>CEC</w:t>
      </w:r>
      <w:r w:rsidRPr="00E66962">
        <w:rPr>
          <w:rFonts w:ascii="Times New Roman" w:hAnsi="Times New Roman" w:cs="Times New Roman"/>
          <w:sz w:val="24"/>
          <w:szCs w:val="24"/>
          <w:lang w:val="bg"/>
        </w:rPr>
        <w:t xml:space="preserve"> и </w:t>
      </w:r>
      <w:r w:rsidRPr="00E66962">
        <w:rPr>
          <w:rFonts w:ascii="Times New Roman" w:hAnsi="Times New Roman" w:cs="Times New Roman"/>
          <w:sz w:val="24"/>
          <w:szCs w:val="24"/>
        </w:rPr>
        <w:t>REC</w:t>
      </w:r>
      <w:r w:rsidRPr="00E66962">
        <w:rPr>
          <w:rFonts w:ascii="Times New Roman" w:hAnsi="Times New Roman" w:cs="Times New Roman"/>
          <w:sz w:val="24"/>
          <w:szCs w:val="24"/>
          <w:lang w:val="bg"/>
        </w:rPr>
        <w:t xml:space="preserve"> като отделни участници на пазара с ясно определени права и задължения. Въпреки че настоящите закони отразяват основните определения на ЕС, те не са специфични. За да се справи с това, първичното законодателство трябва да определи ключови термини като „доброволно и открито участие“, „автономия“ и „ефективен контрол“ (напр. един член — един глас) и да въведе гаранции срещу прикрит търговски контрол или злоупотреба. Изискванията за близост за REC също следва да бъдат изяснени в първичното законодателство, като техническото изпълнение се остави на вторичните актове. Освен това тези закони трябва да наложат национална система за регистрация на енергийните общности, да оправомощят КЕВР с надзорни отговорности и да въведат санкции за нарушения на общностните принципи (напр. недопустими членове или отклонение от целите с нестопанска цел).</w:t>
      </w:r>
    </w:p>
    <w:p w:rsidR="003819B1" w:rsidRPr="00E66962" w:rsidRDefault="003819B1" w:rsidP="00E66962">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0"/>
        </w:numPr>
        <w:spacing w:line="276" w:lineRule="auto"/>
        <w:jc w:val="both"/>
        <w:rPr>
          <w:rFonts w:ascii="Times New Roman" w:hAnsi="Times New Roman" w:cs="Times New Roman"/>
          <w:color w:val="24B1C0"/>
          <w:sz w:val="28"/>
          <w:szCs w:val="28"/>
          <w:lang w:val="bg"/>
        </w:rPr>
      </w:pPr>
      <w:bookmarkStart w:id="480" w:name="bookmark588"/>
      <w:bookmarkStart w:id="481" w:name="_Toc203141359"/>
      <w:r w:rsidRPr="00D22C79">
        <w:rPr>
          <w:rFonts w:ascii="Times New Roman" w:hAnsi="Times New Roman" w:cs="Times New Roman"/>
          <w:color w:val="24B1C0"/>
          <w:sz w:val="28"/>
          <w:szCs w:val="28"/>
          <w:lang w:val="bg"/>
        </w:rPr>
        <w:lastRenderedPageBreak/>
        <w:t>Вторични законодателни изменения</w:t>
      </w:r>
      <w:bookmarkEnd w:id="480"/>
      <w:bookmarkEnd w:id="481"/>
    </w:p>
    <w:p w:rsidR="00D22C79" w:rsidRPr="00D22C79" w:rsidRDefault="00D22C79" w:rsidP="00D22C79">
      <w:pPr>
        <w:pStyle w:val="ListParagraph"/>
        <w:rPr>
          <w:lang w:val="bg"/>
        </w:rPr>
      </w:pPr>
    </w:p>
    <w:p w:rsidR="007906A8"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За да се даде възможност </w:t>
      </w:r>
      <w:r w:rsidRPr="00D22C79">
        <w:rPr>
          <w:rFonts w:ascii="Times New Roman" w:hAnsi="Times New Roman" w:cs="Times New Roman"/>
          <w:b/>
          <w:bCs/>
          <w:sz w:val="24"/>
          <w:szCs w:val="24"/>
          <w:lang w:val="bg"/>
        </w:rPr>
        <w:t xml:space="preserve">за пълно участие на пазара, следва да бъдат актуализирани Правилата за измерване на електроенергията (ПИКЕ) </w:t>
      </w:r>
      <w:r w:rsidRPr="00D22C79">
        <w:rPr>
          <w:rFonts w:ascii="Times New Roman" w:hAnsi="Times New Roman" w:cs="Times New Roman"/>
          <w:sz w:val="24"/>
          <w:szCs w:val="24"/>
          <w:lang w:val="bg"/>
        </w:rPr>
        <w:t xml:space="preserve">и </w:t>
      </w:r>
      <w:r w:rsidRPr="00D22C79">
        <w:rPr>
          <w:rFonts w:ascii="Times New Roman" w:hAnsi="Times New Roman" w:cs="Times New Roman"/>
          <w:b/>
          <w:bCs/>
          <w:sz w:val="24"/>
          <w:szCs w:val="24"/>
          <w:lang w:val="bg"/>
        </w:rPr>
        <w:t xml:space="preserve">Правилата за пазара на електроенергия (ПТЕЕ). </w:t>
      </w:r>
      <w:r w:rsidRPr="00D22C79">
        <w:rPr>
          <w:rFonts w:ascii="Times New Roman" w:hAnsi="Times New Roman" w:cs="Times New Roman"/>
          <w:sz w:val="24"/>
          <w:szCs w:val="24"/>
          <w:lang w:val="bg"/>
        </w:rPr>
        <w:t xml:space="preserve"> Тези изменения трябва да определят ролята на енергийните общности в измерването, обмена на данни и колективното собствено потребление и да дадат възможност за модели като VNM. Следва да се въведат и стандарти за прозрачност, достъп до данни и оперативна съвместимост.</w:t>
      </w:r>
    </w:p>
    <w:p w:rsidR="00E66962" w:rsidRPr="00D22C79" w:rsidRDefault="00E66962" w:rsidP="00D22C79">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0"/>
        </w:numPr>
        <w:spacing w:line="276" w:lineRule="auto"/>
        <w:jc w:val="both"/>
        <w:rPr>
          <w:rFonts w:ascii="Times New Roman" w:hAnsi="Times New Roman" w:cs="Times New Roman"/>
          <w:color w:val="24B1C0"/>
          <w:sz w:val="28"/>
          <w:szCs w:val="28"/>
          <w:lang w:val="bg"/>
        </w:rPr>
      </w:pPr>
      <w:bookmarkStart w:id="482" w:name="bookmark590"/>
      <w:bookmarkStart w:id="483" w:name="_Toc203141360"/>
      <w:r w:rsidRPr="00D22C79">
        <w:rPr>
          <w:rFonts w:ascii="Times New Roman" w:hAnsi="Times New Roman" w:cs="Times New Roman"/>
          <w:color w:val="24B1C0"/>
          <w:sz w:val="28"/>
          <w:szCs w:val="28"/>
          <w:lang w:val="bg"/>
        </w:rPr>
        <w:t>Опции за правен субект</w:t>
      </w:r>
      <w:bookmarkEnd w:id="482"/>
      <w:bookmarkEnd w:id="483"/>
    </w:p>
    <w:p w:rsidR="00D22C79" w:rsidRDefault="00D22C79" w:rsidP="00D22C79">
      <w:pPr>
        <w:rPr>
          <w:lang w:val="bg"/>
        </w:rPr>
      </w:pPr>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На енергийните общности следва да бъде разрешено да се регистрират съгласно съществуващите правни форми — кооперации, организации с нестопанска цел или търговски субекти —</w:t>
      </w:r>
      <w:r w:rsidRPr="00D22C79">
        <w:rPr>
          <w:rFonts w:ascii="Times New Roman" w:hAnsi="Times New Roman" w:cs="Times New Roman"/>
          <w:b/>
          <w:bCs/>
          <w:sz w:val="24"/>
          <w:szCs w:val="24"/>
          <w:lang w:val="bg"/>
        </w:rPr>
        <w:t xml:space="preserve">само ако </w:t>
      </w:r>
      <w:r w:rsidRPr="00D22C79">
        <w:rPr>
          <w:rFonts w:ascii="Times New Roman" w:hAnsi="Times New Roman" w:cs="Times New Roman"/>
          <w:sz w:val="24"/>
          <w:szCs w:val="24"/>
          <w:lang w:val="bg"/>
        </w:rPr>
        <w:t xml:space="preserve">отговарят на критериите за енергийни общности. </w:t>
      </w:r>
      <w:r w:rsidRPr="00D22C79">
        <w:rPr>
          <w:rFonts w:ascii="Times New Roman" w:hAnsi="Times New Roman" w:cs="Times New Roman"/>
          <w:b/>
          <w:bCs/>
          <w:sz w:val="24"/>
          <w:szCs w:val="24"/>
          <w:lang w:val="bg"/>
        </w:rPr>
        <w:t xml:space="preserve">Законът за кооперациите изисква изясняване, </w:t>
      </w:r>
      <w:r w:rsidRPr="00D22C79">
        <w:rPr>
          <w:rFonts w:ascii="Times New Roman" w:hAnsi="Times New Roman" w:cs="Times New Roman"/>
          <w:sz w:val="24"/>
          <w:szCs w:val="24"/>
          <w:lang w:val="bg"/>
        </w:rPr>
        <w:t>за да се даде възможност за дейности извън селското стопанство. Например:</w:t>
      </w:r>
    </w:p>
    <w:p w:rsidR="007906A8"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Член 2 ограничава кооперациите до седем физически лица и ги обвързва с използването на земята за земеделие или горско стопанство, което ограничава гъвкавостта за енергийни проекти. Законът </w:t>
      </w:r>
      <w:r w:rsidRPr="00D22C79">
        <w:rPr>
          <w:rFonts w:ascii="Times New Roman" w:hAnsi="Times New Roman" w:cs="Times New Roman"/>
          <w:b/>
          <w:bCs/>
          <w:sz w:val="24"/>
          <w:szCs w:val="24"/>
          <w:lang w:val="bg"/>
        </w:rPr>
        <w:t xml:space="preserve">за юридическите лица с нестопанска цел може да </w:t>
      </w:r>
      <w:r w:rsidRPr="00D22C79">
        <w:rPr>
          <w:rFonts w:ascii="Times New Roman" w:hAnsi="Times New Roman" w:cs="Times New Roman"/>
          <w:sz w:val="24"/>
          <w:szCs w:val="24"/>
          <w:lang w:val="bg"/>
        </w:rPr>
        <w:t>се нуждае и от незначителни промени, за да се гарантира, че дейностите, свързани с енергетиката, не противоречат на статута на нестопанска цел.</w:t>
      </w:r>
    </w:p>
    <w:p w:rsidR="00E66962" w:rsidRPr="00D22C79" w:rsidRDefault="00E66962" w:rsidP="00D22C79">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0"/>
        </w:numPr>
        <w:spacing w:line="276" w:lineRule="auto"/>
        <w:jc w:val="both"/>
        <w:rPr>
          <w:rFonts w:ascii="Times New Roman" w:hAnsi="Times New Roman" w:cs="Times New Roman"/>
          <w:color w:val="24B1C0"/>
          <w:sz w:val="28"/>
          <w:szCs w:val="28"/>
          <w:lang w:val="bg"/>
        </w:rPr>
      </w:pPr>
      <w:bookmarkStart w:id="484" w:name="bookmark592"/>
      <w:bookmarkStart w:id="485" w:name="_Toc203141361"/>
      <w:r w:rsidRPr="00D22C79">
        <w:rPr>
          <w:rFonts w:ascii="Times New Roman" w:hAnsi="Times New Roman" w:cs="Times New Roman"/>
          <w:color w:val="24B1C0"/>
          <w:sz w:val="28"/>
          <w:szCs w:val="28"/>
          <w:lang w:val="bg"/>
        </w:rPr>
        <w:t>Национален регистър на енергийните общности</w:t>
      </w:r>
      <w:bookmarkEnd w:id="484"/>
      <w:bookmarkEnd w:id="485"/>
    </w:p>
    <w:p w:rsidR="00D22C79" w:rsidRPr="00D22C79" w:rsidRDefault="00D22C79" w:rsidP="00D22C79">
      <w:pPr>
        <w:pStyle w:val="ListParagraph"/>
        <w:rPr>
          <w:lang w:val="bg"/>
        </w:rPr>
      </w:pPr>
    </w:p>
    <w:p w:rsidR="007906A8"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Следва да се създаде централен регистър в рамките на </w:t>
      </w:r>
      <w:r w:rsidRPr="00D22C79">
        <w:rPr>
          <w:rFonts w:ascii="Times New Roman" w:hAnsi="Times New Roman" w:cs="Times New Roman"/>
          <w:b/>
          <w:bCs/>
          <w:sz w:val="24"/>
          <w:szCs w:val="24"/>
          <w:lang w:val="bg"/>
        </w:rPr>
        <w:t xml:space="preserve">КЕВР </w:t>
      </w:r>
      <w:r w:rsidRPr="00D22C79">
        <w:rPr>
          <w:rFonts w:ascii="Times New Roman" w:hAnsi="Times New Roman" w:cs="Times New Roman"/>
          <w:sz w:val="24"/>
          <w:szCs w:val="24"/>
          <w:lang w:val="bg"/>
        </w:rPr>
        <w:t xml:space="preserve">или </w:t>
      </w:r>
      <w:r w:rsidRPr="00D22C79">
        <w:rPr>
          <w:rFonts w:ascii="Times New Roman" w:hAnsi="Times New Roman" w:cs="Times New Roman"/>
          <w:b/>
          <w:bCs/>
          <w:sz w:val="24"/>
          <w:szCs w:val="24"/>
          <w:lang w:val="bg"/>
        </w:rPr>
        <w:t>АУЕР.</w:t>
      </w:r>
      <w:r w:rsidRPr="00D22C79">
        <w:rPr>
          <w:rFonts w:ascii="Times New Roman" w:hAnsi="Times New Roman" w:cs="Times New Roman"/>
          <w:sz w:val="24"/>
          <w:szCs w:val="24"/>
          <w:lang w:val="bg"/>
        </w:rPr>
        <w:t xml:space="preserve"> Това ще осигури правна видимост и ще позволи на енергийните общности да имат достъп до енергийния пазар, да кандидатстват за публична подкрепа и да отговарят на условията за финансиране. Тя следва също така да гарантира последователно наблюдение и да налага спазването на принципите, основани на общността.</w:t>
      </w:r>
    </w:p>
    <w:p w:rsidR="00E66962" w:rsidRPr="00D22C79" w:rsidRDefault="00E66962" w:rsidP="00D22C79">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0"/>
        </w:numPr>
        <w:spacing w:line="276" w:lineRule="auto"/>
        <w:jc w:val="both"/>
        <w:rPr>
          <w:rFonts w:ascii="Times New Roman" w:hAnsi="Times New Roman" w:cs="Times New Roman"/>
          <w:color w:val="24B1C0"/>
          <w:sz w:val="28"/>
          <w:szCs w:val="28"/>
          <w:lang w:val="bg"/>
        </w:rPr>
      </w:pPr>
      <w:bookmarkStart w:id="486" w:name="bookmark594"/>
      <w:bookmarkStart w:id="487" w:name="_Toc203141362"/>
      <w:r w:rsidRPr="00D22C79">
        <w:rPr>
          <w:rFonts w:ascii="Times New Roman" w:hAnsi="Times New Roman" w:cs="Times New Roman"/>
          <w:color w:val="24B1C0"/>
          <w:sz w:val="28"/>
          <w:szCs w:val="28"/>
          <w:lang w:val="bg"/>
        </w:rPr>
        <w:t>Необходимост от реформи</w:t>
      </w:r>
      <w:bookmarkEnd w:id="486"/>
      <w:bookmarkEnd w:id="487"/>
    </w:p>
    <w:p w:rsidR="00D22C79" w:rsidRPr="00D22C79" w:rsidRDefault="00D22C79" w:rsidP="00D22C79">
      <w:pPr>
        <w:pStyle w:val="ListParagraph"/>
        <w:rPr>
          <w:lang w:val="bg"/>
        </w:rPr>
      </w:pPr>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Необходимостта от провеждане на реформите се основава на следното:</w:t>
      </w:r>
    </w:p>
    <w:p w:rsidR="00E66962" w:rsidRDefault="007906A8" w:rsidP="00B01311">
      <w:pPr>
        <w:pStyle w:val="ListParagraph"/>
        <w:numPr>
          <w:ilvl w:val="0"/>
          <w:numId w:val="174"/>
        </w:num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Настоящите правни форми (напр. търговски дружества, кооперации, организации с нестопанска цел, етажна собственост) не поддържат функции на енергийния пазар като достъп до мрежата, търговия, права на данни или балансиране.</w:t>
      </w:r>
    </w:p>
    <w:p w:rsidR="00E66962" w:rsidRDefault="007906A8" w:rsidP="00B01311">
      <w:pPr>
        <w:pStyle w:val="ListParagraph"/>
        <w:numPr>
          <w:ilvl w:val="0"/>
          <w:numId w:val="174"/>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Без правно определение енергийните общности остават невидими за регулаторите, операторите на разпределителни системи и органите за финансиране.</w:t>
      </w:r>
    </w:p>
    <w:p w:rsidR="00E66962" w:rsidRDefault="007906A8" w:rsidP="00B01311">
      <w:pPr>
        <w:pStyle w:val="ListParagraph"/>
        <w:numPr>
          <w:ilvl w:val="0"/>
          <w:numId w:val="174"/>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lastRenderedPageBreak/>
        <w:t>Директивите на ЕС (ДЕВИ II и Директива 2019/944) изискват националното законодателство да определя и да дава възможност на енергийните общности като активни участници на енергийния пазар.</w:t>
      </w:r>
    </w:p>
    <w:p w:rsidR="007906A8" w:rsidRPr="00E66962" w:rsidRDefault="007906A8" w:rsidP="00B01311">
      <w:pPr>
        <w:pStyle w:val="ListParagraph"/>
        <w:numPr>
          <w:ilvl w:val="0"/>
          <w:numId w:val="174"/>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Една стабилна правна рамка, подкрепена от система за регистрация и услуги за обслужване на едно гише, би отключила достъпа до финансиране от ЕС и национално финансиране, партньорства за ESCO и административно опростяване.</w:t>
      </w:r>
    </w:p>
    <w:p w:rsidR="007906A8" w:rsidRDefault="007906A8" w:rsidP="007906A8">
      <w:pPr>
        <w:rPr>
          <w:lang w:val="bg"/>
        </w:rPr>
      </w:pPr>
    </w:p>
    <w:p w:rsidR="00D22C79" w:rsidRPr="007906A8" w:rsidRDefault="00D22C79" w:rsidP="007906A8">
      <w:pPr>
        <w:rPr>
          <w:lang w:val="bg"/>
        </w:rPr>
      </w:pPr>
    </w:p>
    <w:p w:rsidR="007906A8" w:rsidRDefault="007906A8" w:rsidP="00B01311">
      <w:pPr>
        <w:pStyle w:val="Heading2"/>
        <w:numPr>
          <w:ilvl w:val="1"/>
          <w:numId w:val="190"/>
        </w:numPr>
        <w:spacing w:line="276" w:lineRule="auto"/>
        <w:jc w:val="both"/>
        <w:rPr>
          <w:rFonts w:ascii="Times New Roman" w:hAnsi="Times New Roman" w:cs="Times New Roman"/>
          <w:color w:val="24B1C0"/>
          <w:sz w:val="30"/>
          <w:szCs w:val="30"/>
          <w:lang w:val="bg"/>
        </w:rPr>
      </w:pPr>
      <w:bookmarkStart w:id="488" w:name="bookmark596"/>
      <w:bookmarkStart w:id="489" w:name="_Toc203141363"/>
      <w:r w:rsidRPr="00D22C79">
        <w:rPr>
          <w:rFonts w:ascii="Times New Roman" w:hAnsi="Times New Roman" w:cs="Times New Roman"/>
          <w:color w:val="24B1C0"/>
          <w:sz w:val="30"/>
          <w:szCs w:val="30"/>
          <w:lang w:val="bg"/>
        </w:rPr>
        <w:t>Предоставяне на възможност на енергийните общности да споделят и разпределят енергия на местно равнище и ефективно</w:t>
      </w:r>
      <w:bookmarkEnd w:id="488"/>
      <w:bookmarkEnd w:id="489"/>
    </w:p>
    <w:p w:rsidR="00D22C79" w:rsidRPr="00D22C79" w:rsidRDefault="00D22C79" w:rsidP="00D22C79">
      <w:pPr>
        <w:pStyle w:val="ListParagraph"/>
        <w:rPr>
          <w:lang w:val="bg"/>
        </w:rPr>
      </w:pPr>
    </w:p>
    <w:p w:rsidR="007906A8" w:rsidRPr="00D22C79" w:rsidRDefault="007906A8" w:rsidP="00D22C79">
      <w:pPr>
        <w:spacing w:line="276" w:lineRule="auto"/>
        <w:jc w:val="both"/>
        <w:rPr>
          <w:rFonts w:ascii="Times New Roman" w:hAnsi="Times New Roman" w:cs="Times New Roman"/>
          <w:sz w:val="24"/>
          <w:szCs w:val="24"/>
          <w:lang w:val="bg"/>
        </w:rPr>
      </w:pPr>
      <w:r w:rsidRPr="00D22C79">
        <w:rPr>
          <w:rFonts w:ascii="Times New Roman" w:hAnsi="Times New Roman" w:cs="Times New Roman"/>
          <w:sz w:val="24"/>
          <w:szCs w:val="24"/>
          <w:lang w:val="bg"/>
        </w:rPr>
        <w:t xml:space="preserve">За да се подпомогне практическото прилагане на енергийните общности в България и привеждането им в съответствие с правата, установени съгласно правото на ЕС, са необходими допълнителни целенасочени реформи в първичното и вторичното законодателство. Тези реформи трябва да изяснят правния статут на вътрешните системи за разпределение и споделяне на енергия, управлявани от енергийните общности, да опростят участието на пазара и да установят пропорционални регулаторни задължения. За да се избегне политическа или концептуална чувствителност около термина „микрогрид“, предлагаме по-неутралните и специфични за контекста термини: </w:t>
      </w:r>
      <w:r w:rsidRPr="00D22C79">
        <w:rPr>
          <w:rFonts w:ascii="Times New Roman" w:hAnsi="Times New Roman" w:cs="Times New Roman"/>
          <w:b/>
          <w:bCs/>
          <w:sz w:val="24"/>
          <w:szCs w:val="24"/>
          <w:lang w:val="bg"/>
        </w:rPr>
        <w:t>„вътрешни енергийни мрежи“,</w:t>
      </w:r>
      <w:r w:rsidRPr="00D22C79">
        <w:rPr>
          <w:rFonts w:ascii="Times New Roman" w:hAnsi="Times New Roman" w:cs="Times New Roman"/>
          <w:sz w:val="24"/>
          <w:szCs w:val="24"/>
          <w:lang w:val="bg"/>
        </w:rPr>
        <w:t xml:space="preserve"> </w:t>
      </w:r>
      <w:r w:rsidRPr="00D22C79">
        <w:rPr>
          <w:rFonts w:ascii="Times New Roman" w:hAnsi="Times New Roman" w:cs="Times New Roman"/>
          <w:b/>
          <w:bCs/>
          <w:sz w:val="24"/>
          <w:szCs w:val="24"/>
          <w:lang w:val="bg"/>
        </w:rPr>
        <w:t>„разпределителна инфраструктура на общностно равнище“</w:t>
      </w:r>
      <w:r w:rsidRPr="00D22C79">
        <w:rPr>
          <w:rFonts w:ascii="Times New Roman" w:hAnsi="Times New Roman" w:cs="Times New Roman"/>
          <w:sz w:val="24"/>
          <w:szCs w:val="24"/>
          <w:lang w:val="bg"/>
        </w:rPr>
        <w:t xml:space="preserve"> или </w:t>
      </w:r>
      <w:r w:rsidRPr="00D22C79">
        <w:rPr>
          <w:rFonts w:ascii="Times New Roman" w:hAnsi="Times New Roman" w:cs="Times New Roman"/>
          <w:b/>
          <w:bCs/>
          <w:sz w:val="24"/>
          <w:szCs w:val="24"/>
          <w:lang w:val="bg"/>
        </w:rPr>
        <w:t>„вътрешни разпределителни системи“.</w:t>
      </w:r>
      <w:r w:rsidRPr="00D22C79">
        <w:rPr>
          <w:rFonts w:ascii="Times New Roman" w:hAnsi="Times New Roman" w:cs="Times New Roman"/>
          <w:sz w:val="24"/>
          <w:szCs w:val="24"/>
          <w:lang w:val="bg"/>
        </w:rPr>
        <w:t xml:space="preserve"> По-конкретно се предлагат следните стъпки:</w:t>
      </w: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490" w:name="bookmark598"/>
      <w:bookmarkStart w:id="491" w:name="_Toc203141364"/>
      <w:r w:rsidRPr="00A91A2A">
        <w:rPr>
          <w:rFonts w:ascii="Times New Roman" w:hAnsi="Times New Roman" w:cs="Times New Roman"/>
          <w:color w:val="24B1C0"/>
          <w:sz w:val="28"/>
          <w:szCs w:val="28"/>
          <w:lang w:val="bg"/>
        </w:rPr>
        <w:t>Законово определяне и създаване на възможности за вътрешни разпределителни системи за енергийни общности</w:t>
      </w:r>
      <w:bookmarkEnd w:id="490"/>
      <w:bookmarkEnd w:id="491"/>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Изменение на </w:t>
      </w:r>
      <w:r w:rsidRPr="00A91A2A">
        <w:rPr>
          <w:rFonts w:ascii="Times New Roman" w:hAnsi="Times New Roman" w:cs="Times New Roman"/>
          <w:b/>
          <w:bCs/>
          <w:sz w:val="24"/>
          <w:szCs w:val="24"/>
          <w:lang w:val="bg"/>
        </w:rPr>
        <w:t xml:space="preserve">Закона за енергетиката </w:t>
      </w:r>
      <w:r w:rsidRPr="00A91A2A">
        <w:rPr>
          <w:rFonts w:ascii="Times New Roman" w:hAnsi="Times New Roman" w:cs="Times New Roman"/>
          <w:sz w:val="24"/>
          <w:szCs w:val="24"/>
          <w:lang w:val="bg"/>
        </w:rPr>
        <w:t xml:space="preserve">и </w:t>
      </w:r>
      <w:r w:rsidRPr="00A91A2A">
        <w:rPr>
          <w:rFonts w:ascii="Times New Roman" w:hAnsi="Times New Roman" w:cs="Times New Roman"/>
          <w:b/>
          <w:bCs/>
          <w:sz w:val="24"/>
          <w:szCs w:val="24"/>
          <w:lang w:val="bg"/>
        </w:rPr>
        <w:t xml:space="preserve">Наредба No 6, </w:t>
      </w:r>
      <w:r w:rsidRPr="00A91A2A">
        <w:rPr>
          <w:rFonts w:ascii="Times New Roman" w:hAnsi="Times New Roman" w:cs="Times New Roman"/>
          <w:sz w:val="24"/>
          <w:szCs w:val="24"/>
          <w:lang w:val="bg"/>
        </w:rPr>
        <w:t xml:space="preserve">за да се въведе правно определение и рамка за </w:t>
      </w:r>
      <w:r w:rsidRPr="00A91A2A">
        <w:rPr>
          <w:rFonts w:ascii="Times New Roman" w:hAnsi="Times New Roman" w:cs="Times New Roman"/>
          <w:b/>
          <w:bCs/>
          <w:sz w:val="24"/>
          <w:szCs w:val="24"/>
          <w:lang w:val="bg"/>
        </w:rPr>
        <w:t xml:space="preserve">вътрешните разпределителни системи, </w:t>
      </w:r>
      <w:r w:rsidRPr="00A91A2A">
        <w:rPr>
          <w:rFonts w:ascii="Times New Roman" w:hAnsi="Times New Roman" w:cs="Times New Roman"/>
          <w:sz w:val="24"/>
          <w:szCs w:val="24"/>
          <w:lang w:val="bg"/>
        </w:rPr>
        <w:t>управлявани от енергийните общности. Тези системи следва да дават възможност на регистрираните REC и CEC да споделят енергия между членовете или на местно равнище (напр. в споделена вътрешна мрежа), или виртуално, с опростени процедури за свързване и регулиране.</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В случай на географски групирани членове такива системи следва да се квалифицират като </w:t>
      </w:r>
      <w:r w:rsidRPr="00A91A2A">
        <w:rPr>
          <w:rFonts w:ascii="Times New Roman" w:hAnsi="Times New Roman" w:cs="Times New Roman"/>
          <w:b/>
          <w:bCs/>
          <w:sz w:val="24"/>
          <w:szCs w:val="24"/>
          <w:lang w:val="bg"/>
        </w:rPr>
        <w:t xml:space="preserve">затворени разпределителни системи </w:t>
      </w:r>
      <w:r w:rsidRPr="00A91A2A">
        <w:rPr>
          <w:rFonts w:ascii="Times New Roman" w:hAnsi="Times New Roman" w:cs="Times New Roman"/>
          <w:sz w:val="24"/>
          <w:szCs w:val="24"/>
          <w:lang w:val="bg"/>
        </w:rPr>
        <w:t xml:space="preserve">съгласно </w:t>
      </w:r>
      <w:r w:rsidRPr="00A91A2A">
        <w:rPr>
          <w:rFonts w:ascii="Times New Roman" w:hAnsi="Times New Roman" w:cs="Times New Roman"/>
          <w:b/>
          <w:bCs/>
          <w:sz w:val="24"/>
          <w:szCs w:val="24"/>
          <w:lang w:val="bg"/>
        </w:rPr>
        <w:t>член 119 от Закона за енергетиката,</w:t>
      </w:r>
      <w:r w:rsidRPr="00A91A2A">
        <w:rPr>
          <w:rFonts w:ascii="Times New Roman" w:hAnsi="Times New Roman" w:cs="Times New Roman"/>
          <w:sz w:val="24"/>
          <w:szCs w:val="24"/>
          <w:lang w:val="bg"/>
        </w:rPr>
        <w:t xml:space="preserve"> третирани като единна точка на присъединяване към обществената мрежа. Тази рамка следва да даде възможност на енергийните общности да изграждат и експлоатират частни вътрешни мрежи — особено в жилищни, търговски или промишлени зони — без да се изискват пълни лицензи за оператор на разпределителна мрежа. Техническите параметри, включително </w:t>
      </w:r>
      <w:r w:rsidRPr="00A91A2A">
        <w:rPr>
          <w:rFonts w:ascii="Times New Roman" w:hAnsi="Times New Roman" w:cs="Times New Roman"/>
          <w:b/>
          <w:bCs/>
          <w:sz w:val="24"/>
          <w:szCs w:val="24"/>
          <w:lang w:val="bg"/>
        </w:rPr>
        <w:t>нивото на напрежението,</w:t>
      </w:r>
      <w:r w:rsidRPr="00A91A2A">
        <w:rPr>
          <w:rFonts w:ascii="Times New Roman" w:hAnsi="Times New Roman" w:cs="Times New Roman"/>
          <w:sz w:val="24"/>
          <w:szCs w:val="24"/>
          <w:lang w:val="bg"/>
        </w:rPr>
        <w:t xml:space="preserve"> </w:t>
      </w:r>
      <w:r w:rsidRPr="00A91A2A">
        <w:rPr>
          <w:rFonts w:ascii="Times New Roman" w:hAnsi="Times New Roman" w:cs="Times New Roman"/>
          <w:b/>
          <w:bCs/>
          <w:sz w:val="24"/>
          <w:szCs w:val="24"/>
          <w:lang w:val="bg"/>
        </w:rPr>
        <w:t>точката на присъединяване</w:t>
      </w:r>
      <w:r w:rsidRPr="00A91A2A">
        <w:rPr>
          <w:rFonts w:ascii="Times New Roman" w:hAnsi="Times New Roman" w:cs="Times New Roman"/>
          <w:sz w:val="24"/>
          <w:szCs w:val="24"/>
          <w:lang w:val="bg"/>
        </w:rPr>
        <w:t xml:space="preserve"> и </w:t>
      </w:r>
      <w:r w:rsidRPr="00A91A2A">
        <w:rPr>
          <w:rFonts w:ascii="Times New Roman" w:hAnsi="Times New Roman" w:cs="Times New Roman"/>
          <w:b/>
          <w:bCs/>
          <w:sz w:val="24"/>
          <w:szCs w:val="24"/>
          <w:lang w:val="bg"/>
        </w:rPr>
        <w:t>праговете на максималния капацитет,</w:t>
      </w:r>
      <w:r w:rsidRPr="00A91A2A">
        <w:rPr>
          <w:rFonts w:ascii="Times New Roman" w:hAnsi="Times New Roman" w:cs="Times New Roman"/>
          <w:sz w:val="24"/>
          <w:szCs w:val="24"/>
          <w:lang w:val="bg"/>
        </w:rPr>
        <w:t xml:space="preserve"> могат да бъдат определени във вторичното законодателство.</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Важно е да се отбележи, че такива практики вече съществуват неофициално в България в индустриалните зони и зоните със смесена употреба. Правното признаване на тези практики за енергийните общности би подобрило прозрачността, безопасността и участието на пазара, като същевременно се запазят правата на потребителите и надеждността на мрежата.</w:t>
      </w: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492" w:name="bookmark600"/>
      <w:bookmarkStart w:id="493" w:name="_Toc203141365"/>
      <w:r w:rsidRPr="00A91A2A">
        <w:rPr>
          <w:rFonts w:ascii="Times New Roman" w:hAnsi="Times New Roman" w:cs="Times New Roman"/>
          <w:color w:val="24B1C0"/>
          <w:sz w:val="28"/>
          <w:szCs w:val="28"/>
          <w:lang w:val="bg"/>
        </w:rPr>
        <w:lastRenderedPageBreak/>
        <w:t>Активиране на колективното собствено потребление и виртуалното споделяне на енергия</w:t>
      </w:r>
      <w:bookmarkEnd w:id="492"/>
      <w:bookmarkEnd w:id="493"/>
    </w:p>
    <w:p w:rsidR="00A91A2A" w:rsidRPr="00E66962" w:rsidRDefault="00A91A2A" w:rsidP="00E66962">
      <w:pPr>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Да се изменят </w:t>
      </w:r>
      <w:r w:rsidRPr="00A91A2A">
        <w:rPr>
          <w:rFonts w:ascii="Times New Roman" w:hAnsi="Times New Roman" w:cs="Times New Roman"/>
          <w:b/>
          <w:bCs/>
          <w:sz w:val="24"/>
          <w:szCs w:val="24"/>
          <w:lang w:val="bg"/>
        </w:rPr>
        <w:t xml:space="preserve">правилата за пазара на електроенергия (ПТЕЕ) </w:t>
      </w:r>
      <w:r w:rsidRPr="00A91A2A">
        <w:rPr>
          <w:rFonts w:ascii="Times New Roman" w:hAnsi="Times New Roman" w:cs="Times New Roman"/>
          <w:sz w:val="24"/>
          <w:szCs w:val="24"/>
          <w:lang w:val="bg"/>
        </w:rPr>
        <w:t xml:space="preserve">и </w:t>
      </w:r>
      <w:r w:rsidRPr="00A91A2A">
        <w:rPr>
          <w:rFonts w:ascii="Times New Roman" w:hAnsi="Times New Roman" w:cs="Times New Roman"/>
          <w:b/>
          <w:bCs/>
          <w:sz w:val="24"/>
          <w:szCs w:val="24"/>
          <w:lang w:val="bg"/>
        </w:rPr>
        <w:t xml:space="preserve">правилата за измерване на електроенергията (ПИКЕЕ), </w:t>
      </w:r>
      <w:r w:rsidRPr="00A91A2A">
        <w:rPr>
          <w:rFonts w:ascii="Times New Roman" w:hAnsi="Times New Roman" w:cs="Times New Roman"/>
          <w:sz w:val="24"/>
          <w:szCs w:val="24"/>
          <w:lang w:val="bg"/>
        </w:rPr>
        <w:t>за да се даде изрична възможност за:</w:t>
      </w:r>
    </w:p>
    <w:p w:rsidR="00E66962" w:rsidRDefault="007906A8" w:rsidP="00B01311">
      <w:pPr>
        <w:pStyle w:val="ListParagraph"/>
        <w:numPr>
          <w:ilvl w:val="0"/>
          <w:numId w:val="175"/>
        </w:num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Колективно собствено потребление </w:t>
      </w:r>
      <w:r w:rsidRPr="00A91A2A">
        <w:rPr>
          <w:rFonts w:ascii="Times New Roman" w:hAnsi="Times New Roman" w:cs="Times New Roman"/>
          <w:sz w:val="24"/>
          <w:szCs w:val="24"/>
          <w:lang w:val="bg"/>
        </w:rPr>
        <w:t>в рамките на една измервателна точка (напр. жилищни сгради)</w:t>
      </w:r>
    </w:p>
    <w:p w:rsidR="007906A8" w:rsidRPr="00E66962" w:rsidRDefault="007906A8" w:rsidP="00B01311">
      <w:pPr>
        <w:pStyle w:val="ListParagraph"/>
        <w:numPr>
          <w:ilvl w:val="0"/>
          <w:numId w:val="175"/>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Виртуално споделяне на енергия </w:t>
      </w:r>
      <w:r w:rsidRPr="00E66962">
        <w:rPr>
          <w:rFonts w:ascii="Times New Roman" w:hAnsi="Times New Roman" w:cs="Times New Roman"/>
          <w:sz w:val="24"/>
          <w:szCs w:val="24"/>
          <w:lang w:val="bg"/>
        </w:rPr>
        <w:t>(чрез VNM или виртуално фактуриране), при което производството и потреблението се извършват на различни места, но в рамките на една и съща зона на мрежата.</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Споделянето следва да бъде възможно чрез платформи за данни от измерването и улеснено от единно звено за контакт (напр. търговец на дребно, доставчик на агрегирани услуги или координиращ субект). Тези модели могат да работят в рамките на </w:t>
      </w:r>
      <w:r w:rsidRPr="00A91A2A">
        <w:rPr>
          <w:rFonts w:ascii="Times New Roman" w:hAnsi="Times New Roman" w:cs="Times New Roman"/>
          <w:b/>
          <w:bCs/>
          <w:sz w:val="24"/>
          <w:szCs w:val="24"/>
          <w:lang w:val="bg"/>
        </w:rPr>
        <w:t xml:space="preserve">стандартизирани цифрови платформи </w:t>
      </w:r>
      <w:r w:rsidRPr="00A91A2A">
        <w:rPr>
          <w:rFonts w:ascii="Times New Roman" w:hAnsi="Times New Roman" w:cs="Times New Roman"/>
          <w:sz w:val="24"/>
          <w:szCs w:val="24"/>
          <w:lang w:val="bg"/>
        </w:rPr>
        <w:t>или мобилни приложения, като предоставят на потребителите прозрачен достъп до техните профили на използване и участие.</w:t>
      </w:r>
    </w:p>
    <w:p w:rsidR="007906A8" w:rsidRPr="00E66962" w:rsidRDefault="007906A8" w:rsidP="00B01311">
      <w:pPr>
        <w:pStyle w:val="Heading3"/>
        <w:numPr>
          <w:ilvl w:val="2"/>
          <w:numId w:val="191"/>
        </w:numPr>
        <w:rPr>
          <w:rFonts w:ascii="Times New Roman" w:hAnsi="Times New Roman" w:cs="Times New Roman"/>
          <w:color w:val="24B1C0"/>
          <w:sz w:val="28"/>
          <w:szCs w:val="28"/>
          <w:lang w:val="bg"/>
        </w:rPr>
      </w:pPr>
      <w:bookmarkStart w:id="494" w:name="bookmark602"/>
      <w:bookmarkStart w:id="495" w:name="_Toc203141366"/>
      <w:r w:rsidRPr="00E66962">
        <w:rPr>
          <w:rFonts w:ascii="Times New Roman" w:hAnsi="Times New Roman" w:cs="Times New Roman"/>
          <w:color w:val="24B1C0"/>
          <w:sz w:val="28"/>
          <w:szCs w:val="28"/>
          <w:lang w:val="bg"/>
        </w:rPr>
        <w:t>Въвеждане на разпоредби за балансиращия пазар за енергийните общности</w:t>
      </w:r>
      <w:bookmarkEnd w:id="494"/>
      <w:bookmarkEnd w:id="495"/>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Създаване на специална рамка за участие на енергийните общности в пазарите за балансиране и гъвкавост. Това включва:</w:t>
      </w:r>
    </w:p>
    <w:p w:rsidR="00E66962" w:rsidRPr="00E66962" w:rsidRDefault="007906A8" w:rsidP="00B01311">
      <w:pPr>
        <w:pStyle w:val="ListParagraph"/>
        <w:numPr>
          <w:ilvl w:val="0"/>
          <w:numId w:val="176"/>
        </w:num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Право на присъединяване към </w:t>
      </w:r>
      <w:r w:rsidRPr="00A91A2A">
        <w:rPr>
          <w:rFonts w:ascii="Times New Roman" w:hAnsi="Times New Roman" w:cs="Times New Roman"/>
          <w:b/>
          <w:bCs/>
          <w:sz w:val="24"/>
          <w:szCs w:val="24"/>
          <w:lang w:val="bg"/>
        </w:rPr>
        <w:t>опростени балансиращи групи</w:t>
      </w:r>
    </w:p>
    <w:p w:rsidR="00E66962" w:rsidRDefault="007906A8" w:rsidP="00B01311">
      <w:pPr>
        <w:pStyle w:val="ListParagraph"/>
        <w:numPr>
          <w:ilvl w:val="0"/>
          <w:numId w:val="176"/>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Представителство от </w:t>
      </w:r>
      <w:r w:rsidRPr="00E66962">
        <w:rPr>
          <w:rFonts w:ascii="Times New Roman" w:hAnsi="Times New Roman" w:cs="Times New Roman"/>
          <w:b/>
          <w:bCs/>
          <w:sz w:val="24"/>
          <w:szCs w:val="24"/>
          <w:lang w:val="bg"/>
        </w:rPr>
        <w:t>страна на доставчици на агрегирани услуги,</w:t>
      </w:r>
      <w:r w:rsidRPr="00E66962">
        <w:rPr>
          <w:rFonts w:ascii="Times New Roman" w:hAnsi="Times New Roman" w:cs="Times New Roman"/>
          <w:sz w:val="24"/>
          <w:szCs w:val="24"/>
          <w:lang w:val="bg"/>
        </w:rPr>
        <w:t xml:space="preserve"> при спазване на специални условия (напр. намалени прагове за минимален капацитет, опростено докладване)</w:t>
      </w:r>
    </w:p>
    <w:p w:rsidR="007906A8" w:rsidRPr="00E66962" w:rsidRDefault="007906A8" w:rsidP="00B01311">
      <w:pPr>
        <w:pStyle w:val="ListParagraph"/>
        <w:numPr>
          <w:ilvl w:val="0"/>
          <w:numId w:val="176"/>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Ясни правила за това как се планира, отчита и урежда производството и потреблението зад измервателния уред.</w:t>
      </w:r>
    </w:p>
    <w:p w:rsidR="007906A8"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Това ще гарантира, че енергийните общности могат да допринесат за балансирането на системата и услугите</w:t>
      </w:r>
      <w:r w:rsidRPr="00A91A2A">
        <w:rPr>
          <w:rFonts w:ascii="Times New Roman" w:hAnsi="Times New Roman" w:cs="Times New Roman"/>
          <w:sz w:val="24"/>
          <w:szCs w:val="24"/>
          <w:lang w:val="bg"/>
        </w:rPr>
        <w:softHyphen/>
      </w:r>
      <w:r w:rsidR="00A91A2A">
        <w:rPr>
          <w:rFonts w:ascii="Times New Roman" w:hAnsi="Times New Roman" w:cs="Times New Roman"/>
          <w:sz w:val="24"/>
          <w:szCs w:val="24"/>
          <w:lang w:val="bg"/>
        </w:rPr>
        <w:t xml:space="preserve"> </w:t>
      </w:r>
      <w:r w:rsidRPr="00A91A2A">
        <w:rPr>
          <w:rFonts w:ascii="Times New Roman" w:hAnsi="Times New Roman" w:cs="Times New Roman"/>
          <w:sz w:val="24"/>
          <w:szCs w:val="24"/>
          <w:lang w:val="bg"/>
        </w:rPr>
        <w:t>за оптимизация на потреблението в съответствие с променящите се нужди от гъвкавост на електроенергийната система.</w:t>
      </w:r>
    </w:p>
    <w:p w:rsidR="00E66962" w:rsidRPr="00A91A2A" w:rsidRDefault="00E66962" w:rsidP="00A91A2A">
      <w:pPr>
        <w:spacing w:line="276" w:lineRule="auto"/>
        <w:jc w:val="both"/>
        <w:rPr>
          <w:rFonts w:ascii="Times New Roman" w:hAnsi="Times New Roman" w:cs="Times New Roman"/>
          <w:sz w:val="24"/>
          <w:szCs w:val="24"/>
          <w:lang w:val="bg"/>
        </w:rPr>
      </w:pPr>
    </w:p>
    <w:p w:rsidR="007906A8" w:rsidRPr="00A91A2A"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496" w:name="bookmark604"/>
      <w:bookmarkStart w:id="497" w:name="_Toc203141367"/>
      <w:r w:rsidRPr="00A91A2A">
        <w:rPr>
          <w:rFonts w:ascii="Times New Roman" w:hAnsi="Times New Roman" w:cs="Times New Roman"/>
          <w:color w:val="24B1C0"/>
          <w:sz w:val="28"/>
          <w:szCs w:val="28"/>
          <w:lang w:val="bg"/>
        </w:rPr>
        <w:t>Установяване на опростено лицензиране и освобождаване за малки енергийни общности</w:t>
      </w:r>
      <w:bookmarkEnd w:id="496"/>
      <w:bookmarkEnd w:id="497"/>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Изменение на </w:t>
      </w:r>
      <w:r w:rsidRPr="00A91A2A">
        <w:rPr>
          <w:rFonts w:ascii="Times New Roman" w:hAnsi="Times New Roman" w:cs="Times New Roman"/>
          <w:b/>
          <w:bCs/>
          <w:sz w:val="24"/>
          <w:szCs w:val="24"/>
          <w:lang w:val="bg"/>
        </w:rPr>
        <w:t xml:space="preserve">лицензионния режим </w:t>
      </w:r>
      <w:r w:rsidRPr="00A91A2A">
        <w:rPr>
          <w:rFonts w:ascii="Times New Roman" w:hAnsi="Times New Roman" w:cs="Times New Roman"/>
          <w:sz w:val="24"/>
          <w:szCs w:val="24"/>
          <w:lang w:val="bg"/>
        </w:rPr>
        <w:t>по Закона за енергетиката с цел:</w:t>
      </w:r>
    </w:p>
    <w:p w:rsidR="00E66962" w:rsidRDefault="007906A8" w:rsidP="00B01311">
      <w:pPr>
        <w:pStyle w:val="ListParagraph"/>
        <w:numPr>
          <w:ilvl w:val="0"/>
          <w:numId w:val="177"/>
        </w:numPr>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Освобождаване </w:t>
      </w:r>
      <w:r w:rsidRPr="00A91A2A">
        <w:rPr>
          <w:rFonts w:ascii="Times New Roman" w:hAnsi="Times New Roman" w:cs="Times New Roman"/>
          <w:b/>
          <w:bCs/>
          <w:sz w:val="24"/>
          <w:szCs w:val="24"/>
          <w:lang w:val="bg"/>
        </w:rPr>
        <w:t xml:space="preserve">на малките енергийни общности </w:t>
      </w:r>
      <w:r w:rsidRPr="00A91A2A">
        <w:rPr>
          <w:rFonts w:ascii="Times New Roman" w:hAnsi="Times New Roman" w:cs="Times New Roman"/>
          <w:sz w:val="24"/>
          <w:szCs w:val="24"/>
          <w:lang w:val="bg"/>
        </w:rPr>
        <w:t>(напр. съвкупна мощност под 100 kW) от пълните изисквания за издаване на разрешения за производство и продажба на енергия.</w:t>
      </w:r>
    </w:p>
    <w:p w:rsidR="007906A8" w:rsidRDefault="007906A8" w:rsidP="00B01311">
      <w:pPr>
        <w:pStyle w:val="ListParagraph"/>
        <w:numPr>
          <w:ilvl w:val="0"/>
          <w:numId w:val="177"/>
        </w:numPr>
        <w:rPr>
          <w:rFonts w:ascii="Times New Roman" w:hAnsi="Times New Roman" w:cs="Times New Roman"/>
          <w:sz w:val="24"/>
          <w:szCs w:val="24"/>
          <w:lang w:val="bg"/>
        </w:rPr>
      </w:pPr>
      <w:r w:rsidRPr="00E66962">
        <w:rPr>
          <w:rFonts w:ascii="Times New Roman" w:hAnsi="Times New Roman" w:cs="Times New Roman"/>
          <w:sz w:val="24"/>
          <w:szCs w:val="24"/>
          <w:lang w:val="bg"/>
        </w:rPr>
        <w:t>Тези освобождавания ще намалят пречките за навлизане на местни инициативи, като същевременно се запази отчетността и целостта на системата.</w:t>
      </w:r>
    </w:p>
    <w:p w:rsidR="00E66962" w:rsidRPr="00E66962" w:rsidRDefault="00E66962" w:rsidP="00E66962">
      <w:pPr>
        <w:rPr>
          <w:rFonts w:ascii="Times New Roman" w:hAnsi="Times New Roman" w:cs="Times New Roman"/>
          <w:sz w:val="24"/>
          <w:szCs w:val="24"/>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498" w:name="bookmark606"/>
      <w:bookmarkStart w:id="499" w:name="_Toc203141368"/>
      <w:r w:rsidRPr="00A91A2A">
        <w:rPr>
          <w:rFonts w:ascii="Times New Roman" w:hAnsi="Times New Roman" w:cs="Times New Roman"/>
          <w:color w:val="24B1C0"/>
          <w:sz w:val="28"/>
          <w:szCs w:val="28"/>
          <w:lang w:val="bg"/>
        </w:rPr>
        <w:t>Реформиране на тарифните модели, за да се избегне санкционирането на споделянето на енергия на местно равнище</w:t>
      </w:r>
      <w:bookmarkEnd w:id="498"/>
      <w:bookmarkEnd w:id="499"/>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Адаптиране на </w:t>
      </w:r>
      <w:r w:rsidRPr="00A91A2A">
        <w:rPr>
          <w:rFonts w:ascii="Times New Roman" w:hAnsi="Times New Roman" w:cs="Times New Roman"/>
          <w:b/>
          <w:bCs/>
          <w:sz w:val="24"/>
          <w:szCs w:val="24"/>
          <w:lang w:val="bg"/>
        </w:rPr>
        <w:t xml:space="preserve">тарифната структура, </w:t>
      </w:r>
      <w:r w:rsidRPr="00A91A2A">
        <w:rPr>
          <w:rFonts w:ascii="Times New Roman" w:hAnsi="Times New Roman" w:cs="Times New Roman"/>
          <w:sz w:val="24"/>
          <w:szCs w:val="24"/>
          <w:lang w:val="bg"/>
        </w:rPr>
        <w:t>така че вътрешното споделяне на енергия — чрез вътрешни мрежи или чрез обществената мрежа при ниско напрежение — да не подлежи на пълния размер на стандартните такси за пренос и разпределение. Например:</w:t>
      </w:r>
    </w:p>
    <w:p w:rsidR="00E66962" w:rsidRDefault="007906A8" w:rsidP="00B01311">
      <w:pPr>
        <w:pStyle w:val="ListParagraph"/>
        <w:numPr>
          <w:ilvl w:val="0"/>
          <w:numId w:val="178"/>
        </w:num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Когато както производството, така и потреблението се осъществяват </w:t>
      </w:r>
      <w:r w:rsidRPr="00A91A2A">
        <w:rPr>
          <w:rFonts w:ascii="Times New Roman" w:hAnsi="Times New Roman" w:cs="Times New Roman"/>
          <w:b/>
          <w:bCs/>
          <w:sz w:val="24"/>
          <w:szCs w:val="24"/>
          <w:lang w:val="bg"/>
        </w:rPr>
        <w:t>в рамките на една и съща зона на трансформаторна станция,</w:t>
      </w:r>
      <w:r w:rsidRPr="00A91A2A">
        <w:rPr>
          <w:rFonts w:ascii="Times New Roman" w:hAnsi="Times New Roman" w:cs="Times New Roman"/>
          <w:sz w:val="24"/>
          <w:szCs w:val="24"/>
          <w:lang w:val="bg"/>
        </w:rPr>
        <w:t xml:space="preserve"> мрежовите такси следва да бъдат намалени пропорционално на използването на инфраструктурата.</w:t>
      </w:r>
    </w:p>
    <w:p w:rsidR="007906A8" w:rsidRPr="00E66962" w:rsidRDefault="007906A8" w:rsidP="00B01311">
      <w:pPr>
        <w:pStyle w:val="ListParagraph"/>
        <w:numPr>
          <w:ilvl w:val="0"/>
          <w:numId w:val="178"/>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Във вътрешните мрежи, признати съгласно член 119, биха могли да се прилагат </w:t>
      </w:r>
      <w:r w:rsidRPr="00E66962">
        <w:rPr>
          <w:rFonts w:ascii="Times New Roman" w:hAnsi="Times New Roman" w:cs="Times New Roman"/>
          <w:b/>
          <w:bCs/>
          <w:sz w:val="24"/>
          <w:szCs w:val="24"/>
          <w:lang w:val="bg"/>
        </w:rPr>
        <w:t xml:space="preserve">тарифи, основани на капацитета, </w:t>
      </w:r>
      <w:r w:rsidRPr="00E66962">
        <w:rPr>
          <w:rFonts w:ascii="Times New Roman" w:hAnsi="Times New Roman" w:cs="Times New Roman"/>
          <w:sz w:val="24"/>
          <w:szCs w:val="24"/>
          <w:lang w:val="bg"/>
        </w:rPr>
        <w:t>а не на обема, които отразяват по-точно действителните разходи на системата.</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Тези реформи ще отразяват по-слабото въздействие на локализираните енергийни потоци върху цялостната мрежа и ще стимулират ефективното балансиране на местно равнище.</w:t>
      </w: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00" w:name="bookmark608"/>
      <w:bookmarkStart w:id="501" w:name="_Toc203141369"/>
      <w:r w:rsidRPr="00A91A2A">
        <w:rPr>
          <w:rFonts w:ascii="Times New Roman" w:hAnsi="Times New Roman" w:cs="Times New Roman"/>
          <w:color w:val="24B1C0"/>
          <w:sz w:val="28"/>
          <w:szCs w:val="28"/>
          <w:lang w:val="bg"/>
        </w:rPr>
        <w:t>Създаване на национална рамка за обслужване на едно гише за енергийните общности</w:t>
      </w:r>
      <w:bookmarkEnd w:id="500"/>
      <w:bookmarkEnd w:id="501"/>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За да се подкрепи ефективно развитието на енергийните общности и да се изпълнят задълженията на България съгласно Директивата на ЕС за енергията от възобновяеми източници (2018/2001/ЕО), е необходимо да се модернизира настоящата рамка на общинските звена за обслужване на едно гише съгласно член 22 от Закона за ВЕИ (ЗЕВИ). Това следва да се направи чрез въвеждане на </w:t>
      </w:r>
      <w:r w:rsidRPr="00A91A2A">
        <w:rPr>
          <w:rFonts w:ascii="Times New Roman" w:hAnsi="Times New Roman" w:cs="Times New Roman"/>
          <w:b/>
          <w:bCs/>
          <w:sz w:val="24"/>
          <w:szCs w:val="24"/>
          <w:lang w:val="bg"/>
        </w:rPr>
        <w:t xml:space="preserve">специална национална система за обслужване на едно гише, </w:t>
      </w:r>
      <w:r w:rsidRPr="00A91A2A">
        <w:rPr>
          <w:rFonts w:ascii="Times New Roman" w:hAnsi="Times New Roman" w:cs="Times New Roman"/>
          <w:sz w:val="24"/>
          <w:szCs w:val="24"/>
          <w:lang w:val="bg"/>
        </w:rPr>
        <w:t xml:space="preserve">съобразена с нуждите на енергийните общности, произвеждащите потребители и децентрализираните енергийни инициативи. Препоръчваме изменение на Закона за ВЕИ (ЗЕВИ), за да се възложи създаването на </w:t>
      </w:r>
      <w:r w:rsidRPr="00A91A2A">
        <w:rPr>
          <w:rFonts w:ascii="Times New Roman" w:hAnsi="Times New Roman" w:cs="Times New Roman"/>
          <w:b/>
          <w:bCs/>
          <w:sz w:val="24"/>
          <w:szCs w:val="24"/>
          <w:lang w:val="bg"/>
        </w:rPr>
        <w:t>национално координирани услуги на едно гише</w:t>
      </w:r>
      <w:r w:rsidRPr="00A91A2A">
        <w:rPr>
          <w:rFonts w:ascii="Times New Roman" w:hAnsi="Times New Roman" w:cs="Times New Roman"/>
          <w:sz w:val="24"/>
          <w:szCs w:val="24"/>
          <w:lang w:val="bg"/>
        </w:rPr>
        <w:t xml:space="preserve"> с ясно определени функции и отговорности, подкрепени от специална регулаторна наредба, издадена от КЕВР. Тези услуги следва:</w:t>
      </w:r>
    </w:p>
    <w:p w:rsidR="00E66962" w:rsidRDefault="007906A8" w:rsidP="00B01311">
      <w:pPr>
        <w:pStyle w:val="ListParagraph"/>
        <w:numPr>
          <w:ilvl w:val="0"/>
          <w:numId w:val="179"/>
        </w:num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Предоставяне на правна, техническа и финансова подкрепа </w:t>
      </w:r>
      <w:r w:rsidRPr="00A91A2A">
        <w:rPr>
          <w:rFonts w:ascii="Times New Roman" w:hAnsi="Times New Roman" w:cs="Times New Roman"/>
          <w:sz w:val="24"/>
          <w:szCs w:val="24"/>
          <w:lang w:val="bg"/>
        </w:rPr>
        <w:t>за създаването и функционирането на общности за възобновяема енергия (RECs) и граждански енергийни общности (CECs).</w:t>
      </w:r>
    </w:p>
    <w:p w:rsidR="00E66962" w:rsidRDefault="007906A8" w:rsidP="00B01311">
      <w:pPr>
        <w:pStyle w:val="ListParagraph"/>
        <w:numPr>
          <w:ilvl w:val="0"/>
          <w:numId w:val="179"/>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Централизиране и рационализиране на административните процедури, </w:t>
      </w:r>
      <w:r w:rsidRPr="00E66962">
        <w:rPr>
          <w:rFonts w:ascii="Times New Roman" w:hAnsi="Times New Roman" w:cs="Times New Roman"/>
          <w:sz w:val="24"/>
          <w:szCs w:val="24"/>
          <w:lang w:val="bg"/>
        </w:rPr>
        <w:t xml:space="preserve">свързани с регистрацията, лицензирането, издаването на разрешения, свързването </w:t>
      </w:r>
      <w:r w:rsidR="00E66962">
        <w:rPr>
          <w:rFonts w:ascii="Times New Roman" w:hAnsi="Times New Roman" w:cs="Times New Roman"/>
          <w:sz w:val="24"/>
          <w:szCs w:val="24"/>
          <w:lang w:val="bg"/>
        </w:rPr>
        <w:t>към мрежата и достъпа до пазара</w:t>
      </w:r>
    </w:p>
    <w:p w:rsidR="00E66962" w:rsidRDefault="007906A8" w:rsidP="00B01311">
      <w:pPr>
        <w:pStyle w:val="ListParagraph"/>
        <w:numPr>
          <w:ilvl w:val="0"/>
          <w:numId w:val="179"/>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Осигуряване на цифров достъп </w:t>
      </w:r>
      <w:r w:rsidRPr="00E66962">
        <w:rPr>
          <w:rFonts w:ascii="Times New Roman" w:hAnsi="Times New Roman" w:cs="Times New Roman"/>
          <w:sz w:val="24"/>
          <w:szCs w:val="24"/>
          <w:lang w:val="bg"/>
        </w:rPr>
        <w:t>чрез национална онлайн платформа, интегрирана със системите за електронно управление, която позволява на общностите да подават документи, да проследяват напредъка и да комуникират със съответните институции.</w:t>
      </w:r>
    </w:p>
    <w:p w:rsidR="007906A8" w:rsidRPr="00E66962" w:rsidRDefault="007906A8" w:rsidP="00B01311">
      <w:pPr>
        <w:pStyle w:val="ListParagraph"/>
        <w:numPr>
          <w:ilvl w:val="0"/>
          <w:numId w:val="179"/>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Да се координира от АУЕР, </w:t>
      </w:r>
      <w:r w:rsidRPr="00E66962">
        <w:rPr>
          <w:rFonts w:ascii="Times New Roman" w:hAnsi="Times New Roman" w:cs="Times New Roman"/>
          <w:sz w:val="24"/>
          <w:szCs w:val="24"/>
          <w:lang w:val="bg"/>
        </w:rPr>
        <w:t>за да се осигури съгласуваност между общините, да се въведат национални стандарти за услуги и да се осигури обучение за местните власти.</w:t>
      </w:r>
    </w:p>
    <w:p w:rsidR="007906A8" w:rsidRDefault="007906A8" w:rsidP="00B01311">
      <w:pPr>
        <w:pStyle w:val="Heading2"/>
        <w:numPr>
          <w:ilvl w:val="1"/>
          <w:numId w:val="191"/>
        </w:numPr>
        <w:spacing w:line="276" w:lineRule="auto"/>
        <w:jc w:val="both"/>
        <w:rPr>
          <w:rFonts w:ascii="Times New Roman" w:hAnsi="Times New Roman" w:cs="Times New Roman"/>
          <w:color w:val="24B1C0"/>
          <w:sz w:val="30"/>
          <w:szCs w:val="30"/>
          <w:lang w:val="bg"/>
        </w:rPr>
      </w:pPr>
      <w:bookmarkStart w:id="502" w:name="bookmark610"/>
      <w:bookmarkStart w:id="503" w:name="_Toc203141370"/>
      <w:r w:rsidRPr="00A91A2A">
        <w:rPr>
          <w:rFonts w:ascii="Times New Roman" w:hAnsi="Times New Roman" w:cs="Times New Roman"/>
          <w:color w:val="24B1C0"/>
          <w:sz w:val="30"/>
          <w:szCs w:val="30"/>
          <w:lang w:val="bg"/>
        </w:rPr>
        <w:lastRenderedPageBreak/>
        <w:t>Създаване на регулаторна лаборатория за енергийни иновации в България</w:t>
      </w:r>
      <w:bookmarkEnd w:id="502"/>
      <w:bookmarkEnd w:id="503"/>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За да подкрепи интегрирането на иновативни технологии, бизнес модели и нови участници на пазара, като например енергийни общности, </w:t>
      </w:r>
      <w:r w:rsidRPr="00A91A2A">
        <w:rPr>
          <w:rFonts w:ascii="Times New Roman" w:hAnsi="Times New Roman" w:cs="Times New Roman"/>
          <w:b/>
          <w:bCs/>
          <w:sz w:val="24"/>
          <w:szCs w:val="24"/>
          <w:lang w:val="bg"/>
        </w:rPr>
        <w:t xml:space="preserve">България следва да въведе регулаторна лаборатория </w:t>
      </w:r>
      <w:r w:rsidRPr="00A91A2A">
        <w:rPr>
          <w:rFonts w:ascii="Times New Roman" w:hAnsi="Times New Roman" w:cs="Times New Roman"/>
          <w:sz w:val="24"/>
          <w:szCs w:val="24"/>
          <w:lang w:val="bg"/>
        </w:rPr>
        <w:t xml:space="preserve">съгласно Закона за енергетиката, следвайки примера на норвежката енергийна лаборатория, администрирана от NVE. Експерименталната среда следва да позволява </w:t>
      </w:r>
      <w:r w:rsidRPr="00A91A2A">
        <w:rPr>
          <w:rFonts w:ascii="Times New Roman" w:hAnsi="Times New Roman" w:cs="Times New Roman"/>
          <w:b/>
          <w:bCs/>
          <w:sz w:val="24"/>
          <w:szCs w:val="24"/>
          <w:lang w:val="bg"/>
        </w:rPr>
        <w:t xml:space="preserve">временни регулаторни изключения </w:t>
      </w:r>
      <w:r w:rsidRPr="00A91A2A">
        <w:rPr>
          <w:rFonts w:ascii="Times New Roman" w:hAnsi="Times New Roman" w:cs="Times New Roman"/>
          <w:sz w:val="24"/>
          <w:szCs w:val="24"/>
          <w:lang w:val="bg"/>
        </w:rPr>
        <w:t xml:space="preserve">и </w:t>
      </w:r>
      <w:r w:rsidRPr="00A91A2A">
        <w:rPr>
          <w:rFonts w:ascii="Times New Roman" w:hAnsi="Times New Roman" w:cs="Times New Roman"/>
          <w:b/>
          <w:bCs/>
          <w:sz w:val="24"/>
          <w:szCs w:val="24"/>
          <w:lang w:val="bg"/>
        </w:rPr>
        <w:t xml:space="preserve">надзорна среда за изпитване за </w:t>
      </w:r>
      <w:r w:rsidRPr="00A91A2A">
        <w:rPr>
          <w:rFonts w:ascii="Times New Roman" w:hAnsi="Times New Roman" w:cs="Times New Roman"/>
          <w:sz w:val="24"/>
          <w:szCs w:val="24"/>
          <w:lang w:val="bg"/>
        </w:rPr>
        <w:t>пилотни проекти, които имат за цел да демонстрират технически или пазарни иновации. Това ще даде възможност на енергийните общности, доставчиците на агрегирани услуги, произвеждащите потребители, операторите на разпределителни системи и други участници да изпробват реални решения — като споделяне на енергия, търговия между партньори, местно балансиране и динамични модели на ценообразуване — без да бъдат ограничавани от настоящите строги регулаторни правила.</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Основни характеристики на българската регулаторна лаборатория в областта на енергетиката</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Правното </w:t>
      </w:r>
      <w:r w:rsidRPr="00A91A2A">
        <w:rPr>
          <w:rFonts w:ascii="Times New Roman" w:hAnsi="Times New Roman" w:cs="Times New Roman"/>
          <w:b/>
          <w:bCs/>
          <w:sz w:val="24"/>
          <w:szCs w:val="24"/>
          <w:lang w:val="bg"/>
        </w:rPr>
        <w:t xml:space="preserve">основание </w:t>
      </w:r>
      <w:r w:rsidRPr="00A91A2A">
        <w:rPr>
          <w:rFonts w:ascii="Times New Roman" w:hAnsi="Times New Roman" w:cs="Times New Roman"/>
          <w:sz w:val="24"/>
          <w:szCs w:val="24"/>
          <w:lang w:val="bg"/>
        </w:rPr>
        <w:t xml:space="preserve">за създаване на експериментална нормативна среда следва да бъде въведено чрез нова разпоредба в </w:t>
      </w:r>
      <w:r w:rsidRPr="00A91A2A">
        <w:rPr>
          <w:rFonts w:ascii="Times New Roman" w:hAnsi="Times New Roman" w:cs="Times New Roman"/>
          <w:b/>
          <w:bCs/>
          <w:sz w:val="24"/>
          <w:szCs w:val="24"/>
          <w:lang w:val="bg"/>
        </w:rPr>
        <w:t>Закона за енергетиката.</w:t>
      </w:r>
      <w:r w:rsidRPr="00A91A2A">
        <w:rPr>
          <w:rFonts w:ascii="Times New Roman" w:hAnsi="Times New Roman" w:cs="Times New Roman"/>
          <w:sz w:val="24"/>
          <w:szCs w:val="24"/>
          <w:lang w:val="bg"/>
        </w:rPr>
        <w:t xml:space="preserve"> Тази разпоредба трябва изрично да оправомощи </w:t>
      </w:r>
      <w:r w:rsidRPr="00A91A2A">
        <w:rPr>
          <w:rFonts w:ascii="Times New Roman" w:hAnsi="Times New Roman" w:cs="Times New Roman"/>
          <w:b/>
          <w:bCs/>
          <w:sz w:val="24"/>
          <w:szCs w:val="24"/>
          <w:lang w:val="bg"/>
        </w:rPr>
        <w:t xml:space="preserve">КЕВР </w:t>
      </w:r>
      <w:r w:rsidRPr="00A91A2A">
        <w:rPr>
          <w:rFonts w:ascii="Times New Roman" w:hAnsi="Times New Roman" w:cs="Times New Roman"/>
          <w:sz w:val="24"/>
          <w:szCs w:val="24"/>
          <w:lang w:val="bg"/>
        </w:rPr>
        <w:t xml:space="preserve">да създава и управлява лаборатории за изпитване на енергийни иновации. За да се приведе в действие тази рамка, КЕВР </w:t>
      </w:r>
      <w:r w:rsidRPr="00A91A2A">
        <w:rPr>
          <w:rFonts w:ascii="Times New Roman" w:hAnsi="Times New Roman" w:cs="Times New Roman"/>
          <w:b/>
          <w:bCs/>
          <w:sz w:val="24"/>
          <w:szCs w:val="24"/>
          <w:lang w:val="bg"/>
        </w:rPr>
        <w:t xml:space="preserve">следва да приеме специална вторична наредба, </w:t>
      </w:r>
      <w:r w:rsidRPr="00A91A2A">
        <w:rPr>
          <w:rFonts w:ascii="Times New Roman" w:hAnsi="Times New Roman" w:cs="Times New Roman"/>
          <w:sz w:val="24"/>
          <w:szCs w:val="24"/>
          <w:lang w:val="bg"/>
        </w:rPr>
        <w:t>в която ясно да се очертаят обхватът на лабораторията, критериите за допустимост на кандидатите, процесът на кандидатстване и одобрение, продължителността на всеки период на лабораторията и изискванията за докладване, които се прилагат за участващите проекти.</w:t>
      </w:r>
    </w:p>
    <w:p w:rsidR="007906A8"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Що се отнася до </w:t>
      </w:r>
      <w:r w:rsidRPr="00A91A2A">
        <w:rPr>
          <w:rFonts w:ascii="Times New Roman" w:hAnsi="Times New Roman" w:cs="Times New Roman"/>
          <w:b/>
          <w:bCs/>
          <w:sz w:val="24"/>
          <w:szCs w:val="24"/>
          <w:lang w:val="bg"/>
        </w:rPr>
        <w:t>институционалната структура, КЕВР ще действа като водещ орган,</w:t>
      </w:r>
      <w:r w:rsidRPr="00A91A2A">
        <w:rPr>
          <w:rFonts w:ascii="Times New Roman" w:hAnsi="Times New Roman" w:cs="Times New Roman"/>
          <w:sz w:val="24"/>
          <w:szCs w:val="24"/>
          <w:lang w:val="bg"/>
        </w:rPr>
        <w:t xml:space="preserve"> отговарящ за управлението на заявленията за експериментални лаборатории, мониторинга на напредъка на одобрените проекти и оценката на резултатите. На </w:t>
      </w:r>
      <w:r w:rsidRPr="00A91A2A">
        <w:rPr>
          <w:rFonts w:ascii="Times New Roman" w:hAnsi="Times New Roman" w:cs="Times New Roman"/>
          <w:b/>
          <w:bCs/>
          <w:sz w:val="24"/>
          <w:szCs w:val="24"/>
          <w:lang w:val="bg"/>
        </w:rPr>
        <w:t xml:space="preserve">АУЕР </w:t>
      </w:r>
      <w:r w:rsidRPr="00A91A2A">
        <w:rPr>
          <w:rFonts w:ascii="Times New Roman" w:hAnsi="Times New Roman" w:cs="Times New Roman"/>
          <w:sz w:val="24"/>
          <w:szCs w:val="24"/>
          <w:lang w:val="bg"/>
        </w:rPr>
        <w:t>може да бъде възложена поддържаща роля, по-специално за да предложи техническа помощ, свързана с иновациите в областта на чистата енергия и ангажираността на заинтересованите страни. От всички участващи проекти следва да се изисква да докажат, че са иновативни, технически осъществими, ограничени във времето и е вероятно да донесат ползи за енергийната система, като например гъвкавост, овластяване на потребителите или подобрена ефективност на системата.</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Допустимите проекти </w:t>
      </w:r>
      <w:r w:rsidRPr="00A91A2A">
        <w:rPr>
          <w:rFonts w:ascii="Times New Roman" w:hAnsi="Times New Roman" w:cs="Times New Roman"/>
          <w:sz w:val="24"/>
          <w:szCs w:val="24"/>
          <w:lang w:val="bg"/>
        </w:rPr>
        <w:t xml:space="preserve">за експерименталната среда могат да включват широк спектър от инициативи. Например енергийните общности могат да изпитват нови модели на </w:t>
      </w:r>
      <w:r w:rsidRPr="00A91A2A">
        <w:rPr>
          <w:rFonts w:ascii="Times New Roman" w:hAnsi="Times New Roman" w:cs="Times New Roman"/>
          <w:b/>
          <w:bCs/>
          <w:sz w:val="24"/>
          <w:szCs w:val="24"/>
          <w:lang w:val="bg"/>
        </w:rPr>
        <w:t>колективно собствено потребление,</w:t>
      </w:r>
      <w:r w:rsidRPr="00A91A2A">
        <w:rPr>
          <w:rFonts w:ascii="Times New Roman" w:hAnsi="Times New Roman" w:cs="Times New Roman"/>
          <w:sz w:val="24"/>
          <w:szCs w:val="24"/>
          <w:lang w:val="bg"/>
        </w:rPr>
        <w:t xml:space="preserve"> </w:t>
      </w:r>
      <w:r w:rsidRPr="00A91A2A">
        <w:rPr>
          <w:rFonts w:ascii="Times New Roman" w:hAnsi="Times New Roman" w:cs="Times New Roman"/>
          <w:b/>
          <w:bCs/>
          <w:sz w:val="24"/>
          <w:szCs w:val="24"/>
          <w:lang w:val="bg"/>
        </w:rPr>
        <w:t>виртуално нетно измерване или</w:t>
      </w:r>
      <w:r w:rsidRPr="00A91A2A">
        <w:rPr>
          <w:rFonts w:ascii="Times New Roman" w:hAnsi="Times New Roman" w:cs="Times New Roman"/>
          <w:sz w:val="24"/>
          <w:szCs w:val="24"/>
          <w:lang w:val="bg"/>
        </w:rPr>
        <w:t xml:space="preserve"> </w:t>
      </w:r>
      <w:r w:rsidRPr="00A91A2A">
        <w:rPr>
          <w:rFonts w:ascii="Times New Roman" w:hAnsi="Times New Roman" w:cs="Times New Roman"/>
          <w:b/>
          <w:bCs/>
          <w:sz w:val="24"/>
          <w:szCs w:val="24"/>
          <w:lang w:val="bg"/>
        </w:rPr>
        <w:t>споделяне на енергия между равнопоставени партньори.</w:t>
      </w:r>
      <w:r w:rsidRPr="00A91A2A">
        <w:rPr>
          <w:rFonts w:ascii="Times New Roman" w:hAnsi="Times New Roman" w:cs="Times New Roman"/>
          <w:sz w:val="24"/>
          <w:szCs w:val="24"/>
          <w:lang w:val="bg"/>
        </w:rPr>
        <w:t xml:space="preserve"> Операторите на разпределителни системи (ОРС) могат да пилотират усъвършенствани </w:t>
      </w:r>
      <w:r w:rsidRPr="00A91A2A">
        <w:rPr>
          <w:rFonts w:ascii="Times New Roman" w:hAnsi="Times New Roman" w:cs="Times New Roman"/>
          <w:b/>
          <w:bCs/>
          <w:sz w:val="24"/>
          <w:szCs w:val="24"/>
          <w:lang w:val="bg"/>
        </w:rPr>
        <w:t>технологии за управление на мрежата, цифрови платформи за обмен на данни</w:t>
      </w:r>
      <w:r w:rsidRPr="00A91A2A">
        <w:rPr>
          <w:rFonts w:ascii="Times New Roman" w:hAnsi="Times New Roman" w:cs="Times New Roman"/>
          <w:sz w:val="24"/>
          <w:szCs w:val="24"/>
          <w:lang w:val="bg"/>
        </w:rPr>
        <w:t xml:space="preserve"> или </w:t>
      </w:r>
      <w:r w:rsidRPr="00A91A2A">
        <w:rPr>
          <w:rFonts w:ascii="Times New Roman" w:hAnsi="Times New Roman" w:cs="Times New Roman"/>
          <w:b/>
          <w:bCs/>
          <w:sz w:val="24"/>
          <w:szCs w:val="24"/>
          <w:lang w:val="bg"/>
        </w:rPr>
        <w:t>динамични модели на ценообразуване.</w:t>
      </w:r>
      <w:r w:rsidRPr="00A91A2A">
        <w:rPr>
          <w:rFonts w:ascii="Times New Roman" w:hAnsi="Times New Roman" w:cs="Times New Roman"/>
          <w:sz w:val="24"/>
          <w:szCs w:val="24"/>
          <w:lang w:val="bg"/>
        </w:rPr>
        <w:t xml:space="preserve"> Агрегаторите и търговците на дребно на енергия биха могли да проучат </w:t>
      </w:r>
      <w:r w:rsidRPr="00A91A2A">
        <w:rPr>
          <w:rFonts w:ascii="Times New Roman" w:hAnsi="Times New Roman" w:cs="Times New Roman"/>
          <w:b/>
          <w:bCs/>
          <w:sz w:val="24"/>
          <w:szCs w:val="24"/>
          <w:lang w:val="bg"/>
        </w:rPr>
        <w:t xml:space="preserve">услугите за оптимизация на потреблението или други иновативни предложения за гъвкавост за </w:t>
      </w:r>
      <w:r w:rsidRPr="00A91A2A">
        <w:rPr>
          <w:rFonts w:ascii="Times New Roman" w:hAnsi="Times New Roman" w:cs="Times New Roman"/>
          <w:sz w:val="24"/>
          <w:szCs w:val="24"/>
          <w:lang w:val="bg"/>
        </w:rPr>
        <w:t xml:space="preserve">домакинствата и предприятията. Експерименталната среда би могла също така да подкрепя проекти, насочени към </w:t>
      </w:r>
      <w:r w:rsidRPr="00A91A2A">
        <w:rPr>
          <w:rFonts w:ascii="Times New Roman" w:hAnsi="Times New Roman" w:cs="Times New Roman"/>
          <w:b/>
          <w:bCs/>
          <w:sz w:val="24"/>
          <w:szCs w:val="24"/>
          <w:lang w:val="bg"/>
        </w:rPr>
        <w:t xml:space="preserve">интегриране на акумулирането на енергия </w:t>
      </w:r>
      <w:r w:rsidRPr="00A91A2A">
        <w:rPr>
          <w:rFonts w:ascii="Times New Roman" w:hAnsi="Times New Roman" w:cs="Times New Roman"/>
          <w:sz w:val="24"/>
          <w:szCs w:val="24"/>
          <w:lang w:val="bg"/>
        </w:rPr>
        <w:t xml:space="preserve">или </w:t>
      </w:r>
      <w:r w:rsidRPr="00A91A2A">
        <w:rPr>
          <w:rFonts w:ascii="Times New Roman" w:hAnsi="Times New Roman" w:cs="Times New Roman"/>
          <w:b/>
          <w:bCs/>
          <w:sz w:val="24"/>
          <w:szCs w:val="24"/>
          <w:lang w:val="bg"/>
        </w:rPr>
        <w:t xml:space="preserve">хибридни </w:t>
      </w:r>
      <w:r w:rsidRPr="00A91A2A">
        <w:rPr>
          <w:rFonts w:ascii="Times New Roman" w:hAnsi="Times New Roman" w:cs="Times New Roman"/>
          <w:b/>
          <w:bCs/>
          <w:sz w:val="24"/>
          <w:szCs w:val="24"/>
          <w:lang w:val="bg"/>
        </w:rPr>
        <w:lastRenderedPageBreak/>
        <w:t>системи за енергия от възобновяеми източници,</w:t>
      </w:r>
      <w:r w:rsidRPr="00A91A2A">
        <w:rPr>
          <w:rFonts w:ascii="Times New Roman" w:hAnsi="Times New Roman" w:cs="Times New Roman"/>
          <w:sz w:val="24"/>
          <w:szCs w:val="24"/>
          <w:lang w:val="bg"/>
        </w:rPr>
        <w:t xml:space="preserve"> особено когато такива конфигурации все още не са включени в настоящия регламент.</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Ползите </w:t>
      </w:r>
      <w:r w:rsidRPr="00A91A2A">
        <w:rPr>
          <w:rFonts w:ascii="Times New Roman" w:hAnsi="Times New Roman" w:cs="Times New Roman"/>
          <w:b/>
          <w:bCs/>
          <w:sz w:val="24"/>
          <w:szCs w:val="24"/>
          <w:lang w:val="bg"/>
        </w:rPr>
        <w:t xml:space="preserve">от подхода на регулаторната лаборатория </w:t>
      </w:r>
      <w:r w:rsidRPr="00A91A2A">
        <w:rPr>
          <w:rFonts w:ascii="Times New Roman" w:hAnsi="Times New Roman" w:cs="Times New Roman"/>
          <w:sz w:val="24"/>
          <w:szCs w:val="24"/>
          <w:lang w:val="bg"/>
        </w:rPr>
        <w:t xml:space="preserve">са значителни. Тя дава възможност </w:t>
      </w:r>
      <w:r w:rsidRPr="00A91A2A">
        <w:rPr>
          <w:rFonts w:ascii="Times New Roman" w:hAnsi="Times New Roman" w:cs="Times New Roman"/>
          <w:b/>
          <w:bCs/>
          <w:sz w:val="24"/>
          <w:szCs w:val="24"/>
          <w:lang w:val="bg"/>
        </w:rPr>
        <w:t xml:space="preserve">за основано на факти обучение в областта на политиката </w:t>
      </w:r>
      <w:r w:rsidRPr="00A91A2A">
        <w:rPr>
          <w:rFonts w:ascii="Times New Roman" w:hAnsi="Times New Roman" w:cs="Times New Roman"/>
          <w:sz w:val="24"/>
          <w:szCs w:val="24"/>
          <w:lang w:val="bg"/>
        </w:rPr>
        <w:t xml:space="preserve">и развитие на нормативната уредба в съответствие със законодателството на ЕС в областта на енергетиката. Това намалява риска за новаторите и ранните осиновители, като осигурява безопасно пространство за експериментиране. Тя също така помага на България </w:t>
      </w:r>
      <w:r w:rsidRPr="00A91A2A">
        <w:rPr>
          <w:rFonts w:ascii="Times New Roman" w:hAnsi="Times New Roman" w:cs="Times New Roman"/>
          <w:b/>
          <w:bCs/>
          <w:sz w:val="24"/>
          <w:szCs w:val="24"/>
          <w:lang w:val="bg"/>
        </w:rPr>
        <w:t>да изгради институционален капацитет,</w:t>
      </w:r>
      <w:r w:rsidRPr="00A91A2A">
        <w:rPr>
          <w:rFonts w:ascii="Times New Roman" w:hAnsi="Times New Roman" w:cs="Times New Roman"/>
          <w:sz w:val="24"/>
          <w:szCs w:val="24"/>
          <w:lang w:val="bg"/>
        </w:rPr>
        <w:t xml:space="preserve"> подготвяйки регулаторните органи и участниците на пазара за следващите етапи от модернизацията на енергийния пазар. В крайна сметка тя подкрепя националните цели за увеличаване на децентрализацията, гъвкавостта на системата и участието на потребителите в енергийния преход.</w:t>
      </w:r>
    </w:p>
    <w:p w:rsidR="007906A8"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 xml:space="preserve">И накрая, лабораторията следва да работи със силен акцент върху </w:t>
      </w:r>
      <w:r w:rsidRPr="00A91A2A">
        <w:rPr>
          <w:rFonts w:ascii="Times New Roman" w:hAnsi="Times New Roman" w:cs="Times New Roman"/>
          <w:b/>
          <w:bCs/>
          <w:sz w:val="24"/>
          <w:szCs w:val="24"/>
          <w:lang w:val="bg"/>
        </w:rPr>
        <w:t>прозрачността и оценката.</w:t>
      </w:r>
      <w:r w:rsidRPr="00A91A2A">
        <w:rPr>
          <w:rFonts w:ascii="Times New Roman" w:hAnsi="Times New Roman" w:cs="Times New Roman"/>
          <w:sz w:val="24"/>
          <w:szCs w:val="24"/>
          <w:lang w:val="bg"/>
        </w:rPr>
        <w:t xml:space="preserve"> КЕВР следва да поддържа публичен </w:t>
      </w:r>
      <w:r w:rsidRPr="00A91A2A">
        <w:rPr>
          <w:rFonts w:ascii="Times New Roman" w:hAnsi="Times New Roman" w:cs="Times New Roman"/>
          <w:b/>
          <w:bCs/>
          <w:sz w:val="24"/>
          <w:szCs w:val="24"/>
          <w:lang w:val="bg"/>
        </w:rPr>
        <w:t xml:space="preserve">регистър на одобрените проекти в експериментална среда, </w:t>
      </w:r>
      <w:r w:rsidRPr="00A91A2A">
        <w:rPr>
          <w:rFonts w:ascii="Times New Roman" w:hAnsi="Times New Roman" w:cs="Times New Roman"/>
          <w:sz w:val="24"/>
          <w:szCs w:val="24"/>
          <w:lang w:val="bg"/>
        </w:rPr>
        <w:t xml:space="preserve">включително информация за целите на проекта, партньорите, сроковете и резултатите от изпълнението. След приключването си всеки проект следва да бъде подложен на регулаторен преглед, а </w:t>
      </w:r>
      <w:r w:rsidRPr="00A91A2A">
        <w:rPr>
          <w:rFonts w:ascii="Times New Roman" w:hAnsi="Times New Roman" w:cs="Times New Roman"/>
          <w:b/>
          <w:bCs/>
          <w:sz w:val="24"/>
          <w:szCs w:val="24"/>
          <w:lang w:val="bg"/>
        </w:rPr>
        <w:t>КЕВР следва да публикува обобщение на констатациите,</w:t>
      </w:r>
      <w:r w:rsidRPr="00A91A2A">
        <w:rPr>
          <w:rFonts w:ascii="Times New Roman" w:hAnsi="Times New Roman" w:cs="Times New Roman"/>
          <w:sz w:val="24"/>
          <w:szCs w:val="24"/>
          <w:lang w:val="bg"/>
        </w:rPr>
        <w:t xml:space="preserve"> които биха могли да послужат като основа за бъдещи </w:t>
      </w:r>
      <w:r w:rsidRPr="00A91A2A">
        <w:rPr>
          <w:rFonts w:ascii="Times New Roman" w:hAnsi="Times New Roman" w:cs="Times New Roman"/>
          <w:b/>
          <w:bCs/>
          <w:sz w:val="24"/>
          <w:szCs w:val="24"/>
          <w:lang w:val="bg"/>
        </w:rPr>
        <w:t xml:space="preserve">регулаторни корекции </w:t>
      </w:r>
      <w:r w:rsidRPr="00A91A2A">
        <w:rPr>
          <w:rFonts w:ascii="Times New Roman" w:hAnsi="Times New Roman" w:cs="Times New Roman"/>
          <w:sz w:val="24"/>
          <w:szCs w:val="24"/>
          <w:lang w:val="bg"/>
        </w:rPr>
        <w:t>или за разработването на постоянни рамки за енергийните общности и новите участници на пазара.</w:t>
      </w:r>
    </w:p>
    <w:p w:rsidR="00E66962" w:rsidRPr="00A91A2A" w:rsidRDefault="00E66962" w:rsidP="00A91A2A">
      <w:pPr>
        <w:spacing w:line="276" w:lineRule="auto"/>
        <w:jc w:val="both"/>
        <w:rPr>
          <w:rFonts w:ascii="Times New Roman" w:hAnsi="Times New Roman" w:cs="Times New Roman"/>
          <w:sz w:val="24"/>
          <w:szCs w:val="24"/>
          <w:lang w:val="bg"/>
        </w:rPr>
      </w:pPr>
    </w:p>
    <w:p w:rsidR="007906A8" w:rsidRDefault="007906A8" w:rsidP="00B01311">
      <w:pPr>
        <w:pStyle w:val="Heading2"/>
        <w:numPr>
          <w:ilvl w:val="1"/>
          <w:numId w:val="191"/>
        </w:numPr>
        <w:spacing w:line="276" w:lineRule="auto"/>
        <w:jc w:val="both"/>
        <w:rPr>
          <w:rFonts w:ascii="Times New Roman" w:hAnsi="Times New Roman" w:cs="Times New Roman"/>
          <w:color w:val="24B1C0"/>
          <w:sz w:val="30"/>
          <w:szCs w:val="30"/>
          <w:lang w:val="bg"/>
        </w:rPr>
      </w:pPr>
      <w:bookmarkStart w:id="504" w:name="bookmark612"/>
      <w:bookmarkStart w:id="505" w:name="_Toc203141371"/>
      <w:r w:rsidRPr="00A91A2A">
        <w:rPr>
          <w:rFonts w:ascii="Times New Roman" w:hAnsi="Times New Roman" w:cs="Times New Roman"/>
          <w:color w:val="24B1C0"/>
          <w:sz w:val="30"/>
          <w:szCs w:val="30"/>
          <w:lang w:val="bg"/>
        </w:rPr>
        <w:t>По-нататъшно реформиране на мрежовите тарифи и възстановяване на разходите, за да се даде възможност за интелигентни мрежи и справедлив достъп</w:t>
      </w:r>
      <w:bookmarkEnd w:id="504"/>
      <w:bookmarkEnd w:id="505"/>
    </w:p>
    <w:p w:rsidR="00A91A2A" w:rsidRPr="00A91A2A" w:rsidRDefault="00A91A2A" w:rsidP="00A91A2A">
      <w:pPr>
        <w:pStyle w:val="ListParagraph"/>
        <w:rPr>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06" w:name="bookmark614"/>
      <w:bookmarkStart w:id="507" w:name="_Toc203141372"/>
      <w:r w:rsidRPr="00A91A2A">
        <w:rPr>
          <w:rFonts w:ascii="Times New Roman" w:hAnsi="Times New Roman" w:cs="Times New Roman"/>
          <w:color w:val="24B1C0"/>
          <w:sz w:val="28"/>
          <w:szCs w:val="28"/>
          <w:lang w:val="bg"/>
        </w:rPr>
        <w:t>Преход към модел на тарифите въз основа на капацитета</w:t>
      </w:r>
      <w:bookmarkEnd w:id="506"/>
      <w:bookmarkEnd w:id="507"/>
    </w:p>
    <w:p w:rsidR="00A91A2A" w:rsidRPr="00A91A2A" w:rsidRDefault="00A91A2A" w:rsidP="00A91A2A">
      <w:pPr>
        <w:pStyle w:val="ListParagraph"/>
        <w:rPr>
          <w:lang w:val="bg"/>
        </w:rPr>
      </w:pPr>
    </w:p>
    <w:p w:rsidR="00A91A2A"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Текущ брой: Операторите на </w:t>
      </w:r>
      <w:r w:rsidRPr="00A91A2A">
        <w:rPr>
          <w:rFonts w:ascii="Times New Roman" w:hAnsi="Times New Roman" w:cs="Times New Roman"/>
          <w:sz w:val="24"/>
          <w:szCs w:val="24"/>
          <w:lang w:val="bg"/>
        </w:rPr>
        <w:t>разпределителни системи в България са финансово зависими от преноса на енергийни обеми (kWh). Това създава демотивиращи фактори за енергийна ефективност, собствено потребление и споделяне на енергия на местно равнище — особено в райони с ниско потребление и всички ОРС трябва да се справят с въпроса за почти нулеви или почти нулеви точки на потребление.</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Препоръка: </w:t>
      </w:r>
      <w:r w:rsidRPr="00A91A2A">
        <w:rPr>
          <w:rFonts w:ascii="Times New Roman" w:hAnsi="Times New Roman" w:cs="Times New Roman"/>
          <w:sz w:val="24"/>
          <w:szCs w:val="24"/>
          <w:lang w:val="bg"/>
        </w:rPr>
        <w:t>Да се измени Наредбата за цените на електрическата енергия (Наредба за регулиране на цените на електрическата енергия) и Закона за енергетиката (ЗЕ) на:</w:t>
      </w:r>
    </w:p>
    <w:p w:rsidR="00E66962" w:rsidRDefault="007906A8" w:rsidP="00B01311">
      <w:pPr>
        <w:pStyle w:val="ListParagraph"/>
        <w:numPr>
          <w:ilvl w:val="0"/>
          <w:numId w:val="180"/>
        </w:num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Въвеждане на такси за мрежата въз основа на капацитета (EUR/kW), отразяващи постоянните разходи за поддържане на мрежата, независимо от използвания обем енергия. По този начин клиентите с нулево и почти нулево потребление ще трябва да допринесат за поддръжката на мрежата с фиксирана сума.</w:t>
      </w:r>
    </w:p>
    <w:p w:rsidR="00A91A2A" w:rsidRPr="00E66962" w:rsidRDefault="007906A8" w:rsidP="00B01311">
      <w:pPr>
        <w:pStyle w:val="ListParagraph"/>
        <w:numPr>
          <w:ilvl w:val="0"/>
          <w:numId w:val="180"/>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Гарантиране, че тарифите отразяват разходите, недискриминационни са и са технологично неутрални в съответствие с член 18 от Регламент (ЕС) 2019/943.</w:t>
      </w:r>
    </w:p>
    <w:p w:rsidR="00A91A2A" w:rsidRDefault="00A91A2A" w:rsidP="00A91A2A">
      <w:pPr>
        <w:pStyle w:val="ListParagraph"/>
        <w:spacing w:line="276" w:lineRule="auto"/>
        <w:jc w:val="both"/>
        <w:rPr>
          <w:rFonts w:ascii="Times New Roman" w:hAnsi="Times New Roman" w:cs="Times New Roman"/>
          <w:sz w:val="24"/>
          <w:szCs w:val="24"/>
          <w:lang w:val="bg"/>
        </w:rPr>
      </w:pPr>
    </w:p>
    <w:p w:rsidR="007906A8" w:rsidRPr="00A91A2A" w:rsidRDefault="007906A8" w:rsidP="00B01311">
      <w:pPr>
        <w:pStyle w:val="ListParagraph"/>
        <w:numPr>
          <w:ilvl w:val="0"/>
          <w:numId w:val="180"/>
        </w:num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lastRenderedPageBreak/>
        <w:t>Премахване на по-високите такси за разпределение и пренос на напрежение, когато производствените и потребителските единици на енергийните общности са в границите на подстанция/трансформаторна станция със същото ниво на напрежение</w:t>
      </w: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08" w:name="bookmark616"/>
      <w:bookmarkStart w:id="509" w:name="_Toc203141373"/>
      <w:r w:rsidRPr="00A91A2A">
        <w:rPr>
          <w:rFonts w:ascii="Times New Roman" w:hAnsi="Times New Roman" w:cs="Times New Roman"/>
          <w:color w:val="24B1C0"/>
          <w:sz w:val="28"/>
          <w:szCs w:val="28"/>
          <w:lang w:val="bg"/>
        </w:rPr>
        <w:t>Възстановяване на разходите за интелигентни измервателни системи и платформи за данни</w:t>
      </w:r>
      <w:bookmarkEnd w:id="508"/>
      <w:bookmarkEnd w:id="509"/>
    </w:p>
    <w:p w:rsidR="00A91A2A" w:rsidRPr="00A91A2A" w:rsidRDefault="00A91A2A" w:rsidP="00A91A2A">
      <w:pPr>
        <w:pStyle w:val="ListParagraph"/>
        <w:rPr>
          <w:lang w:val="bg"/>
        </w:rPr>
      </w:pP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Текущ брой: </w:t>
      </w:r>
      <w:r w:rsidRPr="00A91A2A">
        <w:rPr>
          <w:rFonts w:ascii="Times New Roman" w:hAnsi="Times New Roman" w:cs="Times New Roman"/>
          <w:sz w:val="24"/>
          <w:szCs w:val="24"/>
          <w:lang w:val="bg"/>
        </w:rPr>
        <w:t>Първоначалните разходи за инсталиране на интелигентни измервателни уреди и разработване на платформи са високи и често се прехвърлят директно на потребителите.</w:t>
      </w:r>
    </w:p>
    <w:p w:rsidR="007906A8" w:rsidRPr="00A91A2A" w:rsidRDefault="007906A8" w:rsidP="00A91A2A">
      <w:pPr>
        <w:spacing w:line="276" w:lineRule="auto"/>
        <w:jc w:val="both"/>
        <w:rPr>
          <w:rFonts w:ascii="Times New Roman" w:hAnsi="Times New Roman" w:cs="Times New Roman"/>
          <w:sz w:val="24"/>
          <w:szCs w:val="24"/>
          <w:lang w:val="bg"/>
        </w:rPr>
      </w:pPr>
      <w:r w:rsidRPr="00A91A2A">
        <w:rPr>
          <w:rFonts w:ascii="Times New Roman" w:hAnsi="Times New Roman" w:cs="Times New Roman"/>
          <w:b/>
          <w:bCs/>
          <w:sz w:val="24"/>
          <w:szCs w:val="24"/>
          <w:lang w:val="bg"/>
        </w:rPr>
        <w:t xml:space="preserve">Препоръка: </w:t>
      </w:r>
      <w:r w:rsidRPr="00A91A2A">
        <w:rPr>
          <w:rFonts w:ascii="Times New Roman" w:hAnsi="Times New Roman" w:cs="Times New Roman"/>
          <w:sz w:val="24"/>
          <w:szCs w:val="24"/>
          <w:lang w:val="bg"/>
        </w:rPr>
        <w:t>Изменение на Закона за енергетиката (ЗЕ) и/или Правилата за измерване на електрическата енергия с цел:</w:t>
      </w:r>
    </w:p>
    <w:p w:rsidR="00E66962" w:rsidRDefault="007906A8" w:rsidP="00B01311">
      <w:pPr>
        <w:pStyle w:val="ListParagraph"/>
        <w:numPr>
          <w:ilvl w:val="0"/>
          <w:numId w:val="181"/>
        </w:numPr>
        <w:spacing w:line="276" w:lineRule="auto"/>
        <w:jc w:val="both"/>
        <w:rPr>
          <w:rFonts w:ascii="Times New Roman" w:hAnsi="Times New Roman" w:cs="Times New Roman"/>
          <w:sz w:val="24"/>
          <w:szCs w:val="24"/>
          <w:lang w:val="bg"/>
        </w:rPr>
      </w:pPr>
      <w:r w:rsidRPr="00A91A2A">
        <w:rPr>
          <w:rFonts w:ascii="Times New Roman" w:hAnsi="Times New Roman" w:cs="Times New Roman"/>
          <w:sz w:val="24"/>
          <w:szCs w:val="24"/>
          <w:lang w:val="bg"/>
        </w:rPr>
        <w:t>Да се позволи на операторите на разпределителни системи да възстановяват разходите за интелигентни измервателни системи, платформи за данни и инфраструктура за AMI чрез регулирани мрежови тарифи с течение на времето, а не като предварителни такси.</w:t>
      </w:r>
    </w:p>
    <w:p w:rsidR="00E66962" w:rsidRDefault="007906A8" w:rsidP="00B01311">
      <w:pPr>
        <w:pStyle w:val="ListParagraph"/>
        <w:numPr>
          <w:ilvl w:val="0"/>
          <w:numId w:val="181"/>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Класифициране на инфраструктурата за интелигентно измерване и данни като регулирани активи, допустими за възвръщаемост на инвестициите под надзора на КЕВР/КЕВР.</w:t>
      </w:r>
    </w:p>
    <w:p w:rsidR="00EC6B4A" w:rsidRPr="00E66962" w:rsidRDefault="007906A8" w:rsidP="00B01311">
      <w:pPr>
        <w:pStyle w:val="ListParagraph"/>
        <w:numPr>
          <w:ilvl w:val="0"/>
          <w:numId w:val="181"/>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Установяване на стандартизирана годишна допълнителна такса (напр. 1 EUR—3 EUR/година на потребител) за поддръжка на платформи за данни, която подлежи на преглед на финансовата достъпност.</w:t>
      </w:r>
    </w:p>
    <w:p w:rsidR="00EC6B4A" w:rsidRPr="00EC6B4A" w:rsidRDefault="00EC6B4A" w:rsidP="00EC6B4A">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10" w:name="bookmark618"/>
      <w:bookmarkStart w:id="511" w:name="_Toc203141374"/>
      <w:r w:rsidRPr="00EC6B4A">
        <w:rPr>
          <w:rFonts w:ascii="Times New Roman" w:hAnsi="Times New Roman" w:cs="Times New Roman"/>
          <w:color w:val="24B1C0"/>
          <w:sz w:val="28"/>
          <w:szCs w:val="28"/>
          <w:lang w:val="bg"/>
        </w:rPr>
        <w:t>Гарантиране на справедливи мрежови тарифи за произвеждащите потребители и енергийните общности</w:t>
      </w:r>
      <w:bookmarkEnd w:id="510"/>
      <w:bookmarkEnd w:id="511"/>
    </w:p>
    <w:p w:rsidR="00EC6B4A" w:rsidRPr="00EC6B4A" w:rsidRDefault="00EC6B4A" w:rsidP="00EC6B4A">
      <w:pPr>
        <w:pStyle w:val="ListParagraph"/>
        <w:rPr>
          <w:lang w:val="bg"/>
        </w:rPr>
      </w:pP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b/>
          <w:bCs/>
          <w:sz w:val="24"/>
          <w:szCs w:val="24"/>
          <w:lang w:val="bg"/>
        </w:rPr>
        <w:t xml:space="preserve">Настоящ въпрос: </w:t>
      </w:r>
      <w:r w:rsidRPr="00EC6B4A">
        <w:rPr>
          <w:rFonts w:ascii="Times New Roman" w:hAnsi="Times New Roman" w:cs="Times New Roman"/>
          <w:sz w:val="24"/>
          <w:szCs w:val="24"/>
          <w:lang w:val="bg"/>
        </w:rPr>
        <w:t>Понастоящем произвеждащите потребители и енергийните общности в България плащат пълни мрежови тарифи дори когато електроенергията не преминава през обществената мрежа, например в случаите на местно производство и потребление. Това подкопава ефективността и справедливостта на тарифната система и демотивира участието в децентрализираното производство на енергия.</w:t>
      </w: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b/>
          <w:bCs/>
          <w:sz w:val="24"/>
          <w:szCs w:val="24"/>
          <w:lang w:val="bg"/>
        </w:rPr>
        <w:t>Препоръка: Законът за енергетиката,</w:t>
      </w:r>
      <w:r w:rsidRPr="00EC6B4A">
        <w:rPr>
          <w:rFonts w:ascii="Times New Roman" w:hAnsi="Times New Roman" w:cs="Times New Roman"/>
          <w:sz w:val="24"/>
          <w:szCs w:val="24"/>
          <w:lang w:val="bg"/>
        </w:rPr>
        <w:t xml:space="preserve"> </w:t>
      </w:r>
      <w:r w:rsidRPr="00EC6B4A">
        <w:rPr>
          <w:rFonts w:ascii="Times New Roman" w:hAnsi="Times New Roman" w:cs="Times New Roman"/>
          <w:b/>
          <w:bCs/>
          <w:sz w:val="24"/>
          <w:szCs w:val="24"/>
          <w:lang w:val="bg"/>
        </w:rPr>
        <w:t>Правилата за пазара на електроенергия (ПТЕЕ)</w:t>
      </w:r>
      <w:r w:rsidRPr="00EC6B4A">
        <w:rPr>
          <w:rFonts w:ascii="Times New Roman" w:hAnsi="Times New Roman" w:cs="Times New Roman"/>
          <w:sz w:val="24"/>
          <w:szCs w:val="24"/>
          <w:lang w:val="bg"/>
        </w:rPr>
        <w:t xml:space="preserve"> и </w:t>
      </w:r>
      <w:r w:rsidRPr="00EC6B4A">
        <w:rPr>
          <w:rFonts w:ascii="Times New Roman" w:hAnsi="Times New Roman" w:cs="Times New Roman"/>
          <w:b/>
          <w:bCs/>
          <w:sz w:val="24"/>
          <w:szCs w:val="24"/>
          <w:lang w:val="bg"/>
        </w:rPr>
        <w:t xml:space="preserve">Наредбата за тарифите </w:t>
      </w:r>
      <w:r w:rsidRPr="00EC6B4A">
        <w:rPr>
          <w:rFonts w:ascii="Times New Roman" w:hAnsi="Times New Roman" w:cs="Times New Roman"/>
          <w:sz w:val="24"/>
          <w:szCs w:val="24"/>
          <w:lang w:val="bg"/>
        </w:rPr>
        <w:t xml:space="preserve">следва да бъдат изменени, за да се въведе </w:t>
      </w:r>
      <w:r w:rsidRPr="00EC6B4A">
        <w:rPr>
          <w:rFonts w:ascii="Times New Roman" w:hAnsi="Times New Roman" w:cs="Times New Roman"/>
          <w:b/>
          <w:bCs/>
          <w:sz w:val="24"/>
          <w:szCs w:val="24"/>
          <w:lang w:val="bg"/>
        </w:rPr>
        <w:t xml:space="preserve">справедлива и модернизирана структура на таксите за мрежата, </w:t>
      </w:r>
      <w:r w:rsidRPr="00EC6B4A">
        <w:rPr>
          <w:rFonts w:ascii="Times New Roman" w:hAnsi="Times New Roman" w:cs="Times New Roman"/>
          <w:sz w:val="24"/>
          <w:szCs w:val="24"/>
          <w:lang w:val="bg"/>
        </w:rPr>
        <w:t>която отразява действителното използване на мрежата и ползите за системата. Това включва:</w:t>
      </w:r>
    </w:p>
    <w:p w:rsidR="00E66962" w:rsidRDefault="007906A8" w:rsidP="00B01311">
      <w:pPr>
        <w:pStyle w:val="ListParagraph"/>
        <w:numPr>
          <w:ilvl w:val="0"/>
          <w:numId w:val="182"/>
        </w:numPr>
        <w:spacing w:line="276" w:lineRule="auto"/>
        <w:jc w:val="both"/>
        <w:rPr>
          <w:rFonts w:ascii="Times New Roman" w:hAnsi="Times New Roman" w:cs="Times New Roman"/>
          <w:sz w:val="24"/>
          <w:szCs w:val="24"/>
          <w:lang w:val="bg"/>
        </w:rPr>
      </w:pPr>
      <w:r w:rsidRPr="00EC6B4A">
        <w:rPr>
          <w:rFonts w:ascii="Times New Roman" w:hAnsi="Times New Roman" w:cs="Times New Roman"/>
          <w:b/>
          <w:bCs/>
          <w:sz w:val="24"/>
          <w:szCs w:val="24"/>
          <w:lang w:val="bg"/>
        </w:rPr>
        <w:t xml:space="preserve">Въвеждане на VNM </w:t>
      </w:r>
      <w:r w:rsidRPr="00EC6B4A">
        <w:rPr>
          <w:rFonts w:ascii="Times New Roman" w:hAnsi="Times New Roman" w:cs="Times New Roman"/>
          <w:sz w:val="24"/>
          <w:szCs w:val="24"/>
          <w:lang w:val="bg"/>
        </w:rPr>
        <w:t xml:space="preserve">и </w:t>
      </w:r>
      <w:r w:rsidRPr="00EC6B4A">
        <w:rPr>
          <w:rFonts w:ascii="Times New Roman" w:hAnsi="Times New Roman" w:cs="Times New Roman"/>
          <w:b/>
          <w:bCs/>
          <w:sz w:val="24"/>
          <w:szCs w:val="24"/>
          <w:lang w:val="bg"/>
        </w:rPr>
        <w:t xml:space="preserve">виртуални механизми за фактуриране, </w:t>
      </w:r>
      <w:r w:rsidRPr="00EC6B4A">
        <w:rPr>
          <w:rFonts w:ascii="Times New Roman" w:hAnsi="Times New Roman" w:cs="Times New Roman"/>
          <w:sz w:val="24"/>
          <w:szCs w:val="24"/>
          <w:lang w:val="bg"/>
        </w:rPr>
        <w:t>които позволяват справедливо разпределение на разходите между произвеждащите потребители, търговците и мрежата, без да се изискват сложни административни задължения за домакинствата (напр. фактуриране, акцизи или счетоводство).</w:t>
      </w:r>
    </w:p>
    <w:p w:rsidR="00E66962" w:rsidRDefault="007906A8" w:rsidP="00B01311">
      <w:pPr>
        <w:pStyle w:val="ListParagraph"/>
        <w:numPr>
          <w:ilvl w:val="0"/>
          <w:numId w:val="182"/>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Признаване на избегнатото използване на мрежата </w:t>
      </w:r>
      <w:r w:rsidRPr="00E66962">
        <w:rPr>
          <w:rFonts w:ascii="Times New Roman" w:hAnsi="Times New Roman" w:cs="Times New Roman"/>
          <w:sz w:val="24"/>
          <w:szCs w:val="24"/>
          <w:lang w:val="bg"/>
        </w:rPr>
        <w:t xml:space="preserve">и </w:t>
      </w:r>
      <w:r w:rsidRPr="00E66962">
        <w:rPr>
          <w:rFonts w:ascii="Times New Roman" w:hAnsi="Times New Roman" w:cs="Times New Roman"/>
          <w:b/>
          <w:bCs/>
          <w:sz w:val="24"/>
          <w:szCs w:val="24"/>
          <w:lang w:val="bg"/>
        </w:rPr>
        <w:t xml:space="preserve">ползите от балансирането на местно равнище </w:t>
      </w:r>
      <w:r w:rsidRPr="00E66962">
        <w:rPr>
          <w:rFonts w:ascii="Times New Roman" w:hAnsi="Times New Roman" w:cs="Times New Roman"/>
          <w:sz w:val="24"/>
          <w:szCs w:val="24"/>
          <w:lang w:val="bg"/>
        </w:rPr>
        <w:t xml:space="preserve">чрез прилагане на намалени тарифи или енергийни кредити в райони с висок потенциал за енергия от възобновяеми източници, селски и </w:t>
      </w:r>
      <w:r w:rsidRPr="00E66962">
        <w:rPr>
          <w:rFonts w:ascii="Times New Roman" w:hAnsi="Times New Roman" w:cs="Times New Roman"/>
          <w:sz w:val="24"/>
          <w:szCs w:val="24"/>
          <w:lang w:val="bg"/>
        </w:rPr>
        <w:lastRenderedPageBreak/>
        <w:t>планински райони с недостатъчно поддържана инфраструктура или зони, разчитащи на замърсяващи горива.</w:t>
      </w:r>
    </w:p>
    <w:p w:rsidR="00E66962" w:rsidRDefault="007906A8" w:rsidP="00B01311">
      <w:pPr>
        <w:pStyle w:val="ListParagraph"/>
        <w:numPr>
          <w:ilvl w:val="0"/>
          <w:numId w:val="182"/>
        </w:numPr>
        <w:spacing w:line="276" w:lineRule="auto"/>
        <w:jc w:val="both"/>
        <w:rPr>
          <w:rFonts w:ascii="Times New Roman" w:hAnsi="Times New Roman" w:cs="Times New Roman"/>
          <w:sz w:val="24"/>
          <w:szCs w:val="24"/>
          <w:lang w:val="bg"/>
        </w:rPr>
      </w:pPr>
      <w:r w:rsidRPr="00E66962">
        <w:rPr>
          <w:rFonts w:ascii="Times New Roman" w:hAnsi="Times New Roman" w:cs="Times New Roman"/>
          <w:b/>
          <w:bCs/>
          <w:sz w:val="24"/>
          <w:szCs w:val="24"/>
          <w:lang w:val="bg"/>
        </w:rPr>
        <w:t xml:space="preserve">Предоставяне на възможност на платформите за данни, управлявани от ОРС и ОПС, </w:t>
      </w:r>
      <w:r w:rsidRPr="00E66962">
        <w:rPr>
          <w:rFonts w:ascii="Times New Roman" w:hAnsi="Times New Roman" w:cs="Times New Roman"/>
          <w:sz w:val="24"/>
          <w:szCs w:val="24"/>
          <w:lang w:val="bg"/>
        </w:rPr>
        <w:t>да подкрепят VNM и споделянето на енергия между членовете на общността, активните потребители и доставчиците въз основа на прозрачни, проверени данни. Тази функционалност следва също така да позволява интелигентни ценови сигнали и гъвкави модели на фактуриране.</w:t>
      </w:r>
    </w:p>
    <w:p w:rsidR="007906A8" w:rsidRPr="00E66962" w:rsidRDefault="007906A8" w:rsidP="00B01311">
      <w:pPr>
        <w:pStyle w:val="ListParagraph"/>
        <w:numPr>
          <w:ilvl w:val="0"/>
          <w:numId w:val="182"/>
        </w:numPr>
        <w:spacing w:line="276" w:lineRule="auto"/>
        <w:jc w:val="both"/>
        <w:rPr>
          <w:rFonts w:ascii="Times New Roman" w:hAnsi="Times New Roman" w:cs="Times New Roman"/>
          <w:sz w:val="24"/>
          <w:szCs w:val="24"/>
          <w:lang w:val="bg"/>
        </w:rPr>
      </w:pPr>
      <w:r w:rsidRPr="00E66962">
        <w:rPr>
          <w:rFonts w:ascii="Times New Roman" w:hAnsi="Times New Roman" w:cs="Times New Roman"/>
          <w:sz w:val="24"/>
          <w:szCs w:val="24"/>
          <w:lang w:val="bg"/>
        </w:rPr>
        <w:t xml:space="preserve">Гарантиране, че реформата на тарифите подкрепя </w:t>
      </w:r>
      <w:r w:rsidRPr="00E66962">
        <w:rPr>
          <w:rFonts w:ascii="Times New Roman" w:hAnsi="Times New Roman" w:cs="Times New Roman"/>
          <w:b/>
          <w:bCs/>
          <w:sz w:val="24"/>
          <w:szCs w:val="24"/>
          <w:lang w:val="bg"/>
        </w:rPr>
        <w:t>сигналите, основани на местоположението, избегнатите принципи на разходите и динамичните тарифи,</w:t>
      </w:r>
      <w:r w:rsidRPr="00E66962">
        <w:rPr>
          <w:rFonts w:ascii="Times New Roman" w:hAnsi="Times New Roman" w:cs="Times New Roman"/>
          <w:sz w:val="24"/>
          <w:szCs w:val="24"/>
          <w:lang w:val="bg"/>
        </w:rPr>
        <w:t xml:space="preserve"> така че ползвателите на мрежата да допринасят справедливо, като същевременно бъдат стимулирани за устойчиво поведение.</w:t>
      </w:r>
    </w:p>
    <w:p w:rsidR="007906A8"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 xml:space="preserve">Подход на </w:t>
      </w:r>
      <w:r w:rsidRPr="00EC6B4A">
        <w:rPr>
          <w:rFonts w:ascii="Times New Roman" w:hAnsi="Times New Roman" w:cs="Times New Roman"/>
          <w:b/>
          <w:bCs/>
          <w:sz w:val="24"/>
          <w:szCs w:val="24"/>
          <w:lang w:val="bg"/>
        </w:rPr>
        <w:t xml:space="preserve">регулаторната лаборатория: </w:t>
      </w:r>
      <w:r w:rsidRPr="00EC6B4A">
        <w:rPr>
          <w:rFonts w:ascii="Times New Roman" w:hAnsi="Times New Roman" w:cs="Times New Roman"/>
          <w:sz w:val="24"/>
          <w:szCs w:val="24"/>
          <w:lang w:val="bg"/>
        </w:rPr>
        <w:t xml:space="preserve">Тези нови тарифни модели и виртуални механизми биха могли първо да бъдат въведени пилотно чрез </w:t>
      </w:r>
      <w:r w:rsidRPr="00EC6B4A">
        <w:rPr>
          <w:rFonts w:ascii="Times New Roman" w:hAnsi="Times New Roman" w:cs="Times New Roman"/>
          <w:b/>
          <w:bCs/>
          <w:sz w:val="24"/>
          <w:szCs w:val="24"/>
          <w:lang w:val="bg"/>
        </w:rPr>
        <w:t>регулаторна лаборатория,</w:t>
      </w:r>
      <w:r w:rsidRPr="00EC6B4A">
        <w:rPr>
          <w:rFonts w:ascii="Times New Roman" w:hAnsi="Times New Roman" w:cs="Times New Roman"/>
          <w:sz w:val="24"/>
          <w:szCs w:val="24"/>
          <w:lang w:val="bg"/>
        </w:rPr>
        <w:t xml:space="preserve"> предлагаща временна регулаторна гъвкавост за изпитване на тяхното въздействие при контролирани условия. Това позволява на КЕВР и заинтересованите страни да оценят разходите, справедливостта и готовността на системата преди мащабирането.</w:t>
      </w:r>
    </w:p>
    <w:p w:rsidR="00EC6B4A" w:rsidRDefault="00EC6B4A" w:rsidP="00EC6B4A">
      <w:pPr>
        <w:spacing w:line="276" w:lineRule="auto"/>
        <w:jc w:val="both"/>
        <w:rPr>
          <w:rFonts w:ascii="Times New Roman" w:hAnsi="Times New Roman" w:cs="Times New Roman"/>
          <w:sz w:val="24"/>
          <w:szCs w:val="24"/>
          <w:lang w:val="bg"/>
        </w:rPr>
      </w:pP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b/>
          <w:bCs/>
          <w:sz w:val="24"/>
          <w:szCs w:val="24"/>
          <w:lang w:val="bg"/>
        </w:rPr>
        <w:t xml:space="preserve">Текущ мониторинг и прозрачност: </w:t>
      </w:r>
      <w:r w:rsidRPr="00EC6B4A">
        <w:rPr>
          <w:rFonts w:ascii="Times New Roman" w:hAnsi="Times New Roman" w:cs="Times New Roman"/>
          <w:sz w:val="24"/>
          <w:szCs w:val="24"/>
          <w:lang w:val="bg"/>
        </w:rPr>
        <w:t xml:space="preserve">КЕВР следва да създаде </w:t>
      </w:r>
      <w:r w:rsidRPr="00EC6B4A">
        <w:rPr>
          <w:rFonts w:ascii="Times New Roman" w:hAnsi="Times New Roman" w:cs="Times New Roman"/>
          <w:b/>
          <w:bCs/>
          <w:sz w:val="24"/>
          <w:szCs w:val="24"/>
          <w:lang w:val="bg"/>
        </w:rPr>
        <w:t>прозрачен механизъм за преглед,</w:t>
      </w:r>
      <w:r w:rsidRPr="00EC6B4A">
        <w:rPr>
          <w:rFonts w:ascii="Times New Roman" w:hAnsi="Times New Roman" w:cs="Times New Roman"/>
          <w:sz w:val="24"/>
          <w:szCs w:val="24"/>
          <w:lang w:val="bg"/>
        </w:rPr>
        <w:t xml:space="preserve"> включително годишен </w:t>
      </w:r>
      <w:r w:rsidRPr="00EC6B4A">
        <w:rPr>
          <w:rFonts w:ascii="Times New Roman" w:hAnsi="Times New Roman" w:cs="Times New Roman"/>
          <w:b/>
          <w:bCs/>
          <w:sz w:val="24"/>
          <w:szCs w:val="24"/>
          <w:lang w:val="bg"/>
        </w:rPr>
        <w:t xml:space="preserve">публичен доклад </w:t>
      </w:r>
      <w:r w:rsidRPr="00EC6B4A">
        <w:rPr>
          <w:rFonts w:ascii="Times New Roman" w:hAnsi="Times New Roman" w:cs="Times New Roman"/>
          <w:sz w:val="24"/>
          <w:szCs w:val="24"/>
          <w:lang w:val="bg"/>
        </w:rPr>
        <w:t xml:space="preserve">относно разходите и справедливостта на интелигентното отчитане и тарифите за различните групи потребители. Многостранният </w:t>
      </w:r>
      <w:r w:rsidRPr="00EC6B4A">
        <w:rPr>
          <w:rFonts w:ascii="Times New Roman" w:hAnsi="Times New Roman" w:cs="Times New Roman"/>
          <w:b/>
          <w:bCs/>
          <w:sz w:val="24"/>
          <w:szCs w:val="24"/>
          <w:lang w:val="bg"/>
        </w:rPr>
        <w:t>тарифен съвет, включително операторите на</w:t>
      </w:r>
      <w:r w:rsidRPr="00EC6B4A">
        <w:rPr>
          <w:rFonts w:ascii="Times New Roman" w:hAnsi="Times New Roman" w:cs="Times New Roman"/>
          <w:sz w:val="24"/>
          <w:szCs w:val="24"/>
          <w:lang w:val="bg"/>
        </w:rPr>
        <w:t xml:space="preserve"> разпределителни системи, търговците, защитниците на потребителите и представителите на енергийната общност, може да спомогне за осигуряване на приобщаващо управление и навременна корекция на курса.</w:t>
      </w:r>
    </w:p>
    <w:p w:rsidR="007906A8" w:rsidRDefault="007906A8" w:rsidP="00B01311">
      <w:pPr>
        <w:pStyle w:val="Heading2"/>
        <w:numPr>
          <w:ilvl w:val="1"/>
          <w:numId w:val="191"/>
        </w:numPr>
        <w:spacing w:line="276" w:lineRule="auto"/>
        <w:jc w:val="both"/>
        <w:rPr>
          <w:rFonts w:ascii="Times New Roman" w:hAnsi="Times New Roman" w:cs="Times New Roman"/>
          <w:color w:val="24B1C0"/>
          <w:sz w:val="30"/>
          <w:szCs w:val="30"/>
          <w:lang w:val="bg"/>
        </w:rPr>
      </w:pPr>
      <w:bookmarkStart w:id="512" w:name="bookmark620"/>
      <w:bookmarkStart w:id="513" w:name="_Toc203141375"/>
      <w:r w:rsidRPr="00EC6B4A">
        <w:rPr>
          <w:rFonts w:ascii="Times New Roman" w:hAnsi="Times New Roman" w:cs="Times New Roman"/>
          <w:color w:val="24B1C0"/>
          <w:sz w:val="30"/>
          <w:szCs w:val="30"/>
          <w:lang w:val="bg"/>
        </w:rPr>
        <w:t>Въвеждане на нови правни определения</w:t>
      </w:r>
      <w:bookmarkEnd w:id="512"/>
      <w:bookmarkEnd w:id="513"/>
    </w:p>
    <w:p w:rsidR="00EC6B4A" w:rsidRPr="00EC6B4A" w:rsidRDefault="00EC6B4A" w:rsidP="00EC6B4A">
      <w:pPr>
        <w:pStyle w:val="ListParagraph"/>
        <w:rPr>
          <w:lang w:val="bg"/>
        </w:rPr>
      </w:pPr>
    </w:p>
    <w:p w:rsidR="007906A8"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 xml:space="preserve">Предлагаме </w:t>
      </w:r>
      <w:r w:rsidRPr="00EC6B4A">
        <w:rPr>
          <w:rFonts w:ascii="Times New Roman" w:hAnsi="Times New Roman" w:cs="Times New Roman"/>
          <w:b/>
          <w:bCs/>
          <w:sz w:val="24"/>
          <w:szCs w:val="24"/>
          <w:lang w:val="bg"/>
        </w:rPr>
        <w:t xml:space="preserve">3-степенен поетапен план за внедряване </w:t>
      </w:r>
      <w:r w:rsidRPr="00EC6B4A">
        <w:rPr>
          <w:rFonts w:ascii="Times New Roman" w:hAnsi="Times New Roman" w:cs="Times New Roman"/>
          <w:sz w:val="24"/>
          <w:szCs w:val="24"/>
          <w:lang w:val="bg"/>
        </w:rPr>
        <w:t>на платформата за данни в България. За целите на платформата е необходимо въвеждането на нови правни определения, както и определянето на минималните технически изисквания за интелигентните измервателни уреди. Предложените нови правни определения са:</w:t>
      </w:r>
    </w:p>
    <w:p w:rsidR="00E66962" w:rsidRPr="00EC6B4A" w:rsidRDefault="00E66962" w:rsidP="00EC6B4A">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14" w:name="bookmark622"/>
      <w:bookmarkStart w:id="515" w:name="_Toc203141376"/>
      <w:r w:rsidRPr="00EC6B4A">
        <w:rPr>
          <w:rFonts w:ascii="Times New Roman" w:hAnsi="Times New Roman" w:cs="Times New Roman"/>
          <w:color w:val="24B1C0"/>
          <w:sz w:val="28"/>
          <w:szCs w:val="28"/>
          <w:lang w:val="bg"/>
        </w:rPr>
        <w:t>Нетно измерване</w:t>
      </w:r>
      <w:bookmarkEnd w:id="514"/>
      <w:bookmarkEnd w:id="515"/>
    </w:p>
    <w:p w:rsidR="00EC6B4A" w:rsidRPr="00EC6B4A" w:rsidRDefault="00EC6B4A" w:rsidP="00EC6B4A">
      <w:pPr>
        <w:pStyle w:val="ListParagraph"/>
        <w:rPr>
          <w:lang w:val="bg"/>
        </w:rPr>
      </w:pP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Предложено определение:</w:t>
      </w:r>
    </w:p>
    <w:p w:rsidR="007906A8" w:rsidRPr="00EC6B4A" w:rsidRDefault="007906A8" w:rsidP="00EC6B4A">
      <w:pPr>
        <w:spacing w:line="276" w:lineRule="auto"/>
        <w:jc w:val="both"/>
        <w:rPr>
          <w:rFonts w:ascii="Times New Roman" w:hAnsi="Times New Roman" w:cs="Times New Roman"/>
          <w:i/>
          <w:iCs/>
          <w:sz w:val="24"/>
          <w:szCs w:val="24"/>
          <w:lang w:val="bg"/>
        </w:rPr>
      </w:pPr>
      <w:r w:rsidRPr="00EC6B4A">
        <w:rPr>
          <w:rFonts w:ascii="Times New Roman" w:hAnsi="Times New Roman" w:cs="Times New Roman"/>
          <w:b/>
          <w:bCs/>
          <w:sz w:val="24"/>
          <w:szCs w:val="24"/>
          <w:lang w:val="bg"/>
        </w:rPr>
        <w:t xml:space="preserve">Нетното измерване е </w:t>
      </w:r>
      <w:r w:rsidRPr="00EC6B4A">
        <w:rPr>
          <w:rFonts w:ascii="Times New Roman" w:hAnsi="Times New Roman" w:cs="Times New Roman"/>
          <w:sz w:val="24"/>
          <w:szCs w:val="24"/>
          <w:lang w:val="bg"/>
        </w:rPr>
        <w:t>механизъм за фактуриране, който позволява на потребителите на електроенергия (произвеждащите потребители) да компенсират потреблението си на електроенергия чрез подаване на излишната енергия от възобновяеми източници в мрежата. Изнесената електроенергия се кредитира от сметката за електроенергия на потребителя, обикновено на индивидуална основа (kWh изнесена спрямо потребена kWh) за определен период на уреждане.</w:t>
      </w:r>
    </w:p>
    <w:p w:rsidR="007906A8"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lastRenderedPageBreak/>
        <w:t>Обяснение: Този механизъм се използва предимно за производство на енергия от възобновяеми източници на място, като например покривни слънчеви фотоволтаични уредби, при които потребителят произвежда електроенергия през слънчевите часове и консумира електроенергия от мрежата, когато нейното производство е недостатъчно.</w:t>
      </w:r>
    </w:p>
    <w:p w:rsidR="00E66962" w:rsidRPr="00EC6B4A" w:rsidRDefault="00E66962" w:rsidP="00EC6B4A">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16" w:name="bookmark624"/>
      <w:bookmarkStart w:id="517" w:name="_Toc203141377"/>
      <w:r w:rsidRPr="00EC6B4A">
        <w:rPr>
          <w:rFonts w:ascii="Times New Roman" w:hAnsi="Times New Roman" w:cs="Times New Roman"/>
          <w:color w:val="24B1C0"/>
          <w:sz w:val="28"/>
          <w:szCs w:val="28"/>
          <w:lang w:val="bg"/>
        </w:rPr>
        <w:t>Виртуална мрежа за измерване</w:t>
      </w:r>
      <w:bookmarkEnd w:id="516"/>
      <w:bookmarkEnd w:id="517"/>
    </w:p>
    <w:p w:rsidR="00EC6B4A" w:rsidRPr="00EC6B4A" w:rsidRDefault="00EC6B4A" w:rsidP="00EC6B4A">
      <w:pPr>
        <w:pStyle w:val="ListParagraph"/>
        <w:rPr>
          <w:lang w:val="bg"/>
        </w:rPr>
      </w:pP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Предложено определение:</w:t>
      </w:r>
    </w:p>
    <w:p w:rsidR="007906A8" w:rsidRPr="00EC6B4A" w:rsidRDefault="007906A8" w:rsidP="00EC6B4A">
      <w:pPr>
        <w:spacing w:line="276" w:lineRule="auto"/>
        <w:jc w:val="both"/>
        <w:rPr>
          <w:rFonts w:ascii="Times New Roman" w:hAnsi="Times New Roman" w:cs="Times New Roman"/>
          <w:i/>
          <w:iCs/>
          <w:sz w:val="24"/>
          <w:szCs w:val="24"/>
          <w:lang w:val="bg"/>
        </w:rPr>
      </w:pPr>
      <w:r w:rsidRPr="00EC6B4A">
        <w:rPr>
          <w:rFonts w:ascii="Times New Roman" w:hAnsi="Times New Roman" w:cs="Times New Roman"/>
          <w:b/>
          <w:bCs/>
          <w:sz w:val="24"/>
          <w:szCs w:val="24"/>
          <w:lang w:val="bg"/>
        </w:rPr>
        <w:t xml:space="preserve">Виртуалното нетно измерване (VNM) </w:t>
      </w:r>
      <w:r w:rsidRPr="00EC6B4A">
        <w:rPr>
          <w:rFonts w:ascii="Times New Roman" w:hAnsi="Times New Roman" w:cs="Times New Roman"/>
          <w:sz w:val="24"/>
          <w:szCs w:val="24"/>
          <w:lang w:val="bg"/>
        </w:rPr>
        <w:t>е механизъм за фактуриране, който позволява на потребителите на електроенергия да се възползват от производството на енергия от възобновяеми източници, разположено на място, различно от точката на действителното им потребление, в рамките на същата мрежова зона. Вместо директно да се използва произведената електроенергия на място, енергията се подава в мрежата и потребителят получава кредити или финансова компенсация въз основа на количеството произведена енергия.</w:t>
      </w:r>
    </w:p>
    <w:p w:rsidR="00EC6B4A"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Обяснение: Този механизъм е особено полезен за енергийните общности, предприятията с множество местоположения и общините, които искат да използват възобновяеми енергийни източници, без да се налага да инсталират производство на всеки отделен обект.</w:t>
      </w: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18" w:name="bookmark626"/>
      <w:bookmarkStart w:id="519" w:name="_Toc203141378"/>
      <w:r w:rsidRPr="00EC6B4A">
        <w:rPr>
          <w:rFonts w:ascii="Times New Roman" w:hAnsi="Times New Roman" w:cs="Times New Roman"/>
          <w:color w:val="24B1C0"/>
          <w:sz w:val="28"/>
          <w:szCs w:val="28"/>
          <w:lang w:val="bg"/>
        </w:rPr>
        <w:t>Виртуално фактуриране</w:t>
      </w:r>
      <w:bookmarkEnd w:id="518"/>
      <w:bookmarkEnd w:id="519"/>
    </w:p>
    <w:p w:rsidR="00EC6B4A" w:rsidRPr="00EC6B4A" w:rsidRDefault="00EC6B4A" w:rsidP="00EC6B4A">
      <w:pPr>
        <w:pStyle w:val="ListParagraph"/>
        <w:rPr>
          <w:lang w:val="bg"/>
        </w:rPr>
      </w:pP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Предложено определение:</w:t>
      </w:r>
    </w:p>
    <w:p w:rsidR="007906A8" w:rsidRPr="00EC6B4A" w:rsidRDefault="007906A8" w:rsidP="00EC6B4A">
      <w:pPr>
        <w:spacing w:line="276" w:lineRule="auto"/>
        <w:jc w:val="both"/>
        <w:rPr>
          <w:rFonts w:ascii="Times New Roman" w:hAnsi="Times New Roman" w:cs="Times New Roman"/>
          <w:i/>
          <w:iCs/>
          <w:sz w:val="24"/>
          <w:szCs w:val="24"/>
          <w:lang w:val="bg"/>
        </w:rPr>
      </w:pPr>
      <w:r w:rsidRPr="00EC6B4A">
        <w:rPr>
          <w:rFonts w:ascii="Times New Roman" w:hAnsi="Times New Roman" w:cs="Times New Roman"/>
          <w:b/>
          <w:bCs/>
          <w:sz w:val="24"/>
          <w:szCs w:val="24"/>
          <w:lang w:val="bg"/>
        </w:rPr>
        <w:t xml:space="preserve">Виртуалното фактуриране е </w:t>
      </w:r>
      <w:r w:rsidRPr="00EC6B4A">
        <w:rPr>
          <w:rFonts w:ascii="Times New Roman" w:hAnsi="Times New Roman" w:cs="Times New Roman"/>
          <w:sz w:val="24"/>
          <w:szCs w:val="24"/>
          <w:lang w:val="bg"/>
        </w:rPr>
        <w:t>механизъм, който позволява на множество потребители на електроенергия да споделят финансовите ползи от една инсталация за енергия от възобновяеми източници чрез разпределяне на производствени кредити или намаляване на разходите в различни сметки за електроенергия, без да се изисква пряка физическа връзка между производствения обект и точките на потребление.</w:t>
      </w:r>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Обяснение: Тази система дава възможност на енергийните общности, предприятията, общините и потребителите с множество</w:t>
      </w:r>
      <w:r w:rsidR="00EC6B4A">
        <w:rPr>
          <w:rFonts w:ascii="Times New Roman" w:hAnsi="Times New Roman" w:cs="Times New Roman"/>
          <w:sz w:val="24"/>
          <w:szCs w:val="24"/>
          <w:lang w:val="bg"/>
        </w:rPr>
        <w:t xml:space="preserve"> </w:t>
      </w:r>
      <w:r w:rsidRPr="00EC6B4A">
        <w:rPr>
          <w:rFonts w:ascii="Times New Roman" w:hAnsi="Times New Roman" w:cs="Times New Roman"/>
          <w:sz w:val="24"/>
          <w:szCs w:val="24"/>
          <w:lang w:val="bg"/>
        </w:rPr>
        <w:softHyphen/>
        <w:t>обекти да се възползват от производството на енергия от възобновяеми източници, подобно на ВНМ, но с по-силен акцент върху финансовото уреждане, а не върху енергийния поток. Виртуалното фактуриране излага производителите, потребителите и произвеждащите потребители на ценовите сигнали, като по този начин ги стимулира да потребяват повече в периоди на върхово производство и да избягват потреблението в периоди на върхово търсене.</w:t>
      </w:r>
      <w:bookmarkStart w:id="520" w:name="bookmark628"/>
    </w:p>
    <w:p w:rsidR="007906A8" w:rsidRPr="00EC6B4A" w:rsidRDefault="007906A8" w:rsidP="00EC6B4A">
      <w:pPr>
        <w:jc w:val="both"/>
        <w:rPr>
          <w:rFonts w:ascii="Times New Roman" w:hAnsi="Times New Roman" w:cs="Times New Roman"/>
          <w:color w:val="24B1C0"/>
          <w:sz w:val="28"/>
          <w:szCs w:val="28"/>
          <w:lang w:val="bg"/>
        </w:rPr>
      </w:pPr>
      <w:r w:rsidRPr="00EC6B4A">
        <w:rPr>
          <w:rFonts w:ascii="Times New Roman" w:hAnsi="Times New Roman" w:cs="Times New Roman"/>
          <w:color w:val="24B1C0"/>
          <w:sz w:val="28"/>
          <w:szCs w:val="28"/>
          <w:lang w:val="bg"/>
        </w:rPr>
        <w:t>Интелигентен измервателен уред</w:t>
      </w:r>
      <w:bookmarkEnd w:id="520"/>
    </w:p>
    <w:p w:rsidR="007906A8" w:rsidRPr="00EC6B4A"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Предложено определение:</w:t>
      </w:r>
    </w:p>
    <w:p w:rsidR="007906A8" w:rsidRPr="00EC6B4A" w:rsidRDefault="007906A8" w:rsidP="00EC6B4A">
      <w:pPr>
        <w:spacing w:line="276" w:lineRule="auto"/>
        <w:jc w:val="both"/>
        <w:rPr>
          <w:rFonts w:ascii="Times New Roman" w:hAnsi="Times New Roman" w:cs="Times New Roman"/>
          <w:i/>
          <w:iCs/>
          <w:sz w:val="24"/>
          <w:szCs w:val="24"/>
          <w:lang w:val="bg"/>
        </w:rPr>
      </w:pPr>
      <w:r w:rsidRPr="00EC6B4A">
        <w:rPr>
          <w:rFonts w:ascii="Times New Roman" w:hAnsi="Times New Roman" w:cs="Times New Roman"/>
          <w:sz w:val="24"/>
          <w:szCs w:val="24"/>
          <w:lang w:val="bg"/>
        </w:rPr>
        <w:t xml:space="preserve">Интелигентният </w:t>
      </w:r>
      <w:r w:rsidRPr="00EC6B4A">
        <w:rPr>
          <w:rFonts w:ascii="Times New Roman" w:hAnsi="Times New Roman" w:cs="Times New Roman"/>
          <w:b/>
          <w:bCs/>
          <w:sz w:val="24"/>
          <w:szCs w:val="24"/>
          <w:lang w:val="bg"/>
        </w:rPr>
        <w:t xml:space="preserve">измервателен уред </w:t>
      </w:r>
      <w:r w:rsidRPr="00EC6B4A">
        <w:rPr>
          <w:rFonts w:ascii="Times New Roman" w:hAnsi="Times New Roman" w:cs="Times New Roman"/>
          <w:sz w:val="24"/>
          <w:szCs w:val="24"/>
          <w:lang w:val="bg"/>
        </w:rPr>
        <w:t xml:space="preserve">е електронно устройство, което измерва точно потреблението и/или производството на електроенергия и дава възможност за сигурна, дистанционна, двупосочна комуникация с оператора на мрежата или доставчика на енергия. Тя позволява обработка на данни в реално време или почти в реално време, поддържа </w:t>
      </w:r>
      <w:r w:rsidRPr="00EC6B4A">
        <w:rPr>
          <w:rFonts w:ascii="Times New Roman" w:hAnsi="Times New Roman" w:cs="Times New Roman"/>
          <w:sz w:val="24"/>
          <w:szCs w:val="24"/>
          <w:lang w:val="bg"/>
        </w:rPr>
        <w:lastRenderedPageBreak/>
        <w:t>динамично ценообразуване и улеснява участието в енергийните пазари, схемите за споделяне на енергия и програмите за реакция на търсенето.</w:t>
      </w:r>
    </w:p>
    <w:p w:rsidR="007906A8" w:rsidRDefault="007906A8" w:rsidP="00EC6B4A">
      <w:pPr>
        <w:spacing w:line="276" w:lineRule="auto"/>
        <w:jc w:val="both"/>
        <w:rPr>
          <w:rFonts w:ascii="Times New Roman" w:hAnsi="Times New Roman" w:cs="Times New Roman"/>
          <w:sz w:val="24"/>
          <w:szCs w:val="24"/>
          <w:lang w:val="bg"/>
        </w:rPr>
      </w:pPr>
      <w:r w:rsidRPr="00EC6B4A">
        <w:rPr>
          <w:rFonts w:ascii="Times New Roman" w:hAnsi="Times New Roman" w:cs="Times New Roman"/>
          <w:sz w:val="24"/>
          <w:szCs w:val="24"/>
          <w:lang w:val="bg"/>
        </w:rPr>
        <w:t xml:space="preserve">Обяснение: Предложеното определение за интелигентен измервателен уред подчертава, че той </w:t>
      </w:r>
      <w:r w:rsidRPr="00EC6B4A">
        <w:rPr>
          <w:rFonts w:ascii="Times New Roman" w:hAnsi="Times New Roman" w:cs="Times New Roman"/>
          <w:i/>
          <w:iCs/>
          <w:sz w:val="24"/>
          <w:szCs w:val="24"/>
          <w:lang w:val="bg"/>
        </w:rPr>
        <w:t>„</w:t>
      </w:r>
      <w:r w:rsidRPr="002E2E94">
        <w:rPr>
          <w:rFonts w:ascii="Times New Roman" w:hAnsi="Times New Roman" w:cs="Times New Roman"/>
          <w:iCs/>
          <w:sz w:val="24"/>
          <w:szCs w:val="24"/>
          <w:lang w:val="bg"/>
        </w:rPr>
        <w:t>позволява</w:t>
      </w:r>
      <w:r w:rsidR="002E2E94" w:rsidRPr="002E2E94">
        <w:rPr>
          <w:rFonts w:ascii="Times New Roman" w:hAnsi="Times New Roman" w:cs="Times New Roman"/>
          <w:iCs/>
          <w:sz w:val="24"/>
          <w:szCs w:val="24"/>
          <w:lang w:val="bg"/>
        </w:rPr>
        <w:t xml:space="preserve"> </w:t>
      </w:r>
      <w:r w:rsidRPr="002E2E94">
        <w:rPr>
          <w:rFonts w:ascii="Times New Roman" w:hAnsi="Times New Roman" w:cs="Times New Roman"/>
          <w:sz w:val="24"/>
          <w:szCs w:val="24"/>
          <w:lang w:val="bg"/>
        </w:rPr>
        <w:t>обработка на данни в реално време или почти в реално време</w:t>
      </w:r>
      <w:r w:rsidRPr="00EC6B4A">
        <w:rPr>
          <w:rFonts w:ascii="Times New Roman" w:hAnsi="Times New Roman" w:cs="Times New Roman"/>
          <w:sz w:val="24"/>
          <w:szCs w:val="24"/>
          <w:lang w:val="bg"/>
        </w:rPr>
        <w:t xml:space="preserve">“, което не следва да се тълкува погрешно като изискване самото устройство да включва вградена функция за комуникация в реално време. По-скоро </w:t>
      </w:r>
      <w:r w:rsidRPr="00EC6B4A">
        <w:rPr>
          <w:rFonts w:ascii="Times New Roman" w:hAnsi="Times New Roman" w:cs="Times New Roman"/>
          <w:b/>
          <w:bCs/>
          <w:sz w:val="24"/>
          <w:szCs w:val="24"/>
          <w:lang w:val="bg"/>
        </w:rPr>
        <w:t xml:space="preserve">„позволява“ </w:t>
      </w:r>
      <w:r w:rsidRPr="00EC6B4A">
        <w:rPr>
          <w:rFonts w:ascii="Times New Roman" w:hAnsi="Times New Roman" w:cs="Times New Roman"/>
          <w:sz w:val="24"/>
          <w:szCs w:val="24"/>
          <w:lang w:val="bg"/>
        </w:rPr>
        <w:t xml:space="preserve">в този контекст означава, че интелигентният измервателен уред трябва да бъде </w:t>
      </w:r>
      <w:r w:rsidRPr="00EC6B4A">
        <w:rPr>
          <w:rFonts w:ascii="Times New Roman" w:hAnsi="Times New Roman" w:cs="Times New Roman"/>
          <w:b/>
          <w:bCs/>
          <w:sz w:val="24"/>
          <w:szCs w:val="24"/>
          <w:lang w:val="bg"/>
        </w:rPr>
        <w:t>технически способен да поддържа такива функции пряко</w:t>
      </w:r>
      <w:r w:rsidRPr="00EC6B4A">
        <w:rPr>
          <w:rFonts w:ascii="Times New Roman" w:hAnsi="Times New Roman" w:cs="Times New Roman"/>
          <w:sz w:val="24"/>
          <w:szCs w:val="24"/>
          <w:lang w:val="bg"/>
        </w:rPr>
        <w:t xml:space="preserve"> или чрез </w:t>
      </w:r>
      <w:r w:rsidRPr="00EC6B4A">
        <w:rPr>
          <w:rFonts w:ascii="Times New Roman" w:hAnsi="Times New Roman" w:cs="Times New Roman"/>
          <w:b/>
          <w:bCs/>
          <w:sz w:val="24"/>
          <w:szCs w:val="24"/>
          <w:lang w:val="bg"/>
        </w:rPr>
        <w:t xml:space="preserve">интегриране на външни или допълнителни компоненти </w:t>
      </w:r>
      <w:r w:rsidRPr="00EC6B4A">
        <w:rPr>
          <w:rFonts w:ascii="Times New Roman" w:hAnsi="Times New Roman" w:cs="Times New Roman"/>
          <w:sz w:val="24"/>
          <w:szCs w:val="24"/>
          <w:lang w:val="bg"/>
        </w:rPr>
        <w:t xml:space="preserve">(напр. комуникационни модули, шлюзове или LAN портове). Това тълкуване е в съответствие с гъвкавостта, позволена съгласно директивите на ЕС, които не налагат конкретна хардуерна конфигурация, а вместо това се съсредоточават върху </w:t>
      </w:r>
      <w:r w:rsidRPr="00EC6B4A">
        <w:rPr>
          <w:rFonts w:ascii="Times New Roman" w:hAnsi="Times New Roman" w:cs="Times New Roman"/>
          <w:b/>
          <w:bCs/>
          <w:sz w:val="24"/>
          <w:szCs w:val="24"/>
          <w:lang w:val="bg"/>
        </w:rPr>
        <w:t xml:space="preserve">възможностите и резултатите, </w:t>
      </w:r>
      <w:r w:rsidRPr="00EC6B4A">
        <w:rPr>
          <w:rFonts w:ascii="Times New Roman" w:hAnsi="Times New Roman" w:cs="Times New Roman"/>
          <w:sz w:val="24"/>
          <w:szCs w:val="24"/>
          <w:lang w:val="bg"/>
        </w:rPr>
        <w:t>които измервателната система следва да поддържа. Следователно интелигентният измервателен уред може да отговаря на регулаторното определение дори ако комуникацията в реално време се постига чрез допълнителни устройства или системна архитектура, при условие че настройката позволява сигурна двупосочна комуникация и поддържа ключови функции като динамично ценообразуване, реакция на търсенето и достъп до данни. Този подход дава възможност за икономически ефективно внедряване и бъдеща възможност за разрастване, без да се излага на риск оперативната съвместимост или съответствието.)</w:t>
      </w:r>
    </w:p>
    <w:p w:rsidR="00EC6B4A" w:rsidRPr="00EC6B4A" w:rsidRDefault="00EC6B4A" w:rsidP="00EC6B4A">
      <w:pPr>
        <w:spacing w:line="276" w:lineRule="auto"/>
        <w:jc w:val="both"/>
        <w:rPr>
          <w:rFonts w:ascii="Times New Roman" w:hAnsi="Times New Roman" w:cs="Times New Roman"/>
          <w:sz w:val="24"/>
          <w:szCs w:val="24"/>
          <w:lang w:val="bg"/>
        </w:rPr>
      </w:pPr>
    </w:p>
    <w:p w:rsidR="007906A8" w:rsidRDefault="007906A8" w:rsidP="00B01311">
      <w:pPr>
        <w:pStyle w:val="Heading3"/>
        <w:numPr>
          <w:ilvl w:val="2"/>
          <w:numId w:val="191"/>
        </w:numPr>
        <w:spacing w:line="276" w:lineRule="auto"/>
        <w:jc w:val="both"/>
        <w:rPr>
          <w:rFonts w:ascii="Times New Roman" w:hAnsi="Times New Roman" w:cs="Times New Roman"/>
          <w:color w:val="24B1C0"/>
          <w:sz w:val="28"/>
          <w:szCs w:val="28"/>
          <w:lang w:val="bg"/>
        </w:rPr>
      </w:pPr>
      <w:bookmarkStart w:id="521" w:name="bookmark630"/>
      <w:bookmarkStart w:id="522" w:name="_Toc203141379"/>
      <w:r w:rsidRPr="00EC6B4A">
        <w:rPr>
          <w:rFonts w:ascii="Times New Roman" w:hAnsi="Times New Roman" w:cs="Times New Roman"/>
          <w:color w:val="24B1C0"/>
          <w:sz w:val="28"/>
          <w:szCs w:val="28"/>
          <w:lang w:val="bg"/>
        </w:rPr>
        <w:t>Основни изисквания за интелигентно измерване и платформа за данни</w:t>
      </w:r>
      <w:bookmarkEnd w:id="521"/>
      <w:bookmarkEnd w:id="522"/>
    </w:p>
    <w:p w:rsidR="00EC6B4A" w:rsidRPr="00EC6B4A" w:rsidRDefault="00EC6B4A" w:rsidP="00EC6B4A">
      <w:pPr>
        <w:pStyle w:val="ListParagraph"/>
        <w:rPr>
          <w:lang w:val="bg"/>
        </w:rPr>
      </w:pPr>
    </w:p>
    <w:p w:rsidR="007906A8" w:rsidRDefault="007906A8" w:rsidP="00EC6B4A">
      <w:pPr>
        <w:spacing w:line="276" w:lineRule="auto"/>
        <w:jc w:val="both"/>
        <w:rPr>
          <w:rFonts w:ascii="Times New Roman" w:hAnsi="Times New Roman" w:cs="Times New Roman"/>
          <w:b/>
          <w:bCs/>
          <w:sz w:val="24"/>
          <w:szCs w:val="24"/>
          <w:lang w:val="bg"/>
        </w:rPr>
      </w:pPr>
      <w:r w:rsidRPr="00EC6B4A">
        <w:rPr>
          <w:rFonts w:ascii="Times New Roman" w:hAnsi="Times New Roman" w:cs="Times New Roman"/>
          <w:sz w:val="24"/>
          <w:szCs w:val="24"/>
          <w:lang w:val="bg"/>
        </w:rPr>
        <w:t xml:space="preserve">Всички новоинсталирани електромери в България трябва да поддържат </w:t>
      </w:r>
      <w:r w:rsidRPr="00EC6B4A">
        <w:rPr>
          <w:rFonts w:ascii="Times New Roman" w:hAnsi="Times New Roman" w:cs="Times New Roman"/>
          <w:b/>
          <w:bCs/>
          <w:sz w:val="24"/>
          <w:szCs w:val="24"/>
          <w:lang w:val="bg"/>
        </w:rPr>
        <w:t>дистанционно отчитане,</w:t>
      </w:r>
      <w:r w:rsidRPr="00EC6B4A">
        <w:rPr>
          <w:rFonts w:ascii="Times New Roman" w:hAnsi="Times New Roman" w:cs="Times New Roman"/>
          <w:sz w:val="24"/>
          <w:szCs w:val="24"/>
          <w:lang w:val="bg"/>
        </w:rPr>
        <w:t xml:space="preserve"> </w:t>
      </w:r>
      <w:r w:rsidRPr="00EC6B4A">
        <w:rPr>
          <w:rFonts w:ascii="Times New Roman" w:hAnsi="Times New Roman" w:cs="Times New Roman"/>
          <w:b/>
          <w:bCs/>
          <w:sz w:val="24"/>
          <w:szCs w:val="24"/>
          <w:lang w:val="bg"/>
        </w:rPr>
        <w:t>двупосочна комуникация</w:t>
      </w:r>
      <w:r w:rsidRPr="00EC6B4A">
        <w:rPr>
          <w:rFonts w:ascii="Times New Roman" w:hAnsi="Times New Roman" w:cs="Times New Roman"/>
          <w:sz w:val="24"/>
          <w:szCs w:val="24"/>
          <w:lang w:val="bg"/>
        </w:rPr>
        <w:t xml:space="preserve"> и </w:t>
      </w:r>
      <w:r w:rsidRPr="00EC6B4A">
        <w:rPr>
          <w:rFonts w:ascii="Times New Roman" w:hAnsi="Times New Roman" w:cs="Times New Roman"/>
          <w:b/>
          <w:bCs/>
          <w:sz w:val="24"/>
          <w:szCs w:val="24"/>
          <w:lang w:val="bg"/>
        </w:rPr>
        <w:t>записване на данни на интервали най-малко на всеки 15 минути.</w:t>
      </w:r>
      <w:r w:rsidRPr="00EC6B4A">
        <w:rPr>
          <w:rFonts w:ascii="Times New Roman" w:hAnsi="Times New Roman" w:cs="Times New Roman"/>
          <w:sz w:val="24"/>
          <w:szCs w:val="24"/>
          <w:lang w:val="bg"/>
        </w:rPr>
        <w:t xml:space="preserve"> Измервателните уреди трябва да измерват както внесената, така и изнесената енергия, да позволяват отдалечена конфигурация и да осигуряват сигурен, лесен за ползване достъп до валидирани данни за потреблението и производството за клиенти и упълномощени трети страни. Пълното спазване </w:t>
      </w:r>
      <w:r w:rsidRPr="00EC6B4A">
        <w:rPr>
          <w:rFonts w:ascii="Times New Roman" w:hAnsi="Times New Roman" w:cs="Times New Roman"/>
          <w:b/>
          <w:bCs/>
          <w:sz w:val="24"/>
          <w:szCs w:val="24"/>
          <w:lang w:val="bg"/>
        </w:rPr>
        <w:t xml:space="preserve">на стандартите на ЕС за киберсигурност и оперативна съвместимост (напр. DLMS/COSEM) </w:t>
      </w:r>
      <w:r w:rsidRPr="00EC6B4A">
        <w:rPr>
          <w:rFonts w:ascii="Times New Roman" w:hAnsi="Times New Roman" w:cs="Times New Roman"/>
          <w:sz w:val="24"/>
          <w:szCs w:val="24"/>
          <w:lang w:val="bg"/>
        </w:rPr>
        <w:t xml:space="preserve">е задължително. Тези функции са от съществено значение за подпомагане на </w:t>
      </w:r>
      <w:r w:rsidRPr="00EC6B4A">
        <w:rPr>
          <w:rFonts w:ascii="Times New Roman" w:hAnsi="Times New Roman" w:cs="Times New Roman"/>
          <w:b/>
          <w:bCs/>
          <w:sz w:val="24"/>
          <w:szCs w:val="24"/>
          <w:lang w:val="bg"/>
        </w:rPr>
        <w:t>произвеждащите потребители</w:t>
      </w:r>
      <w:r w:rsidRPr="00EC6B4A">
        <w:rPr>
          <w:rFonts w:ascii="Times New Roman" w:hAnsi="Times New Roman" w:cs="Times New Roman"/>
          <w:sz w:val="24"/>
          <w:szCs w:val="24"/>
          <w:lang w:val="bg"/>
        </w:rPr>
        <w:t xml:space="preserve">, </w:t>
      </w:r>
      <w:r w:rsidRPr="00EC6B4A">
        <w:rPr>
          <w:rFonts w:ascii="Times New Roman" w:hAnsi="Times New Roman" w:cs="Times New Roman"/>
          <w:b/>
          <w:bCs/>
          <w:sz w:val="24"/>
          <w:szCs w:val="24"/>
          <w:lang w:val="bg"/>
        </w:rPr>
        <w:t>енергийните общности</w:t>
      </w:r>
      <w:r w:rsidRPr="00EC6B4A">
        <w:rPr>
          <w:rFonts w:ascii="Times New Roman" w:hAnsi="Times New Roman" w:cs="Times New Roman"/>
          <w:sz w:val="24"/>
          <w:szCs w:val="24"/>
          <w:lang w:val="bg"/>
        </w:rPr>
        <w:t xml:space="preserve">, </w:t>
      </w:r>
      <w:r w:rsidRPr="00EC6B4A">
        <w:rPr>
          <w:rFonts w:ascii="Times New Roman" w:hAnsi="Times New Roman" w:cs="Times New Roman"/>
          <w:b/>
          <w:bCs/>
          <w:sz w:val="24"/>
          <w:szCs w:val="24"/>
          <w:lang w:val="bg"/>
        </w:rPr>
        <w:t>колективното собствено потребление</w:t>
      </w:r>
      <w:r w:rsidRPr="00EC6B4A">
        <w:rPr>
          <w:rFonts w:ascii="Times New Roman" w:hAnsi="Times New Roman" w:cs="Times New Roman"/>
          <w:sz w:val="24"/>
          <w:szCs w:val="24"/>
          <w:lang w:val="bg"/>
        </w:rPr>
        <w:t xml:space="preserve">, </w:t>
      </w:r>
      <w:r w:rsidRPr="00EC6B4A">
        <w:rPr>
          <w:rFonts w:ascii="Times New Roman" w:hAnsi="Times New Roman" w:cs="Times New Roman"/>
          <w:b/>
          <w:bCs/>
          <w:sz w:val="24"/>
          <w:szCs w:val="24"/>
          <w:lang w:val="bg"/>
        </w:rPr>
        <w:t>агрегирането</w:t>
      </w:r>
      <w:r w:rsidRPr="00EC6B4A">
        <w:rPr>
          <w:rFonts w:ascii="Times New Roman" w:hAnsi="Times New Roman" w:cs="Times New Roman"/>
          <w:sz w:val="24"/>
          <w:szCs w:val="24"/>
          <w:lang w:val="bg"/>
        </w:rPr>
        <w:t xml:space="preserve"> и </w:t>
      </w:r>
      <w:r w:rsidRPr="00EC6B4A">
        <w:rPr>
          <w:rFonts w:ascii="Times New Roman" w:hAnsi="Times New Roman" w:cs="Times New Roman"/>
          <w:b/>
          <w:bCs/>
          <w:sz w:val="24"/>
          <w:szCs w:val="24"/>
          <w:lang w:val="bg"/>
        </w:rPr>
        <w:t>виртуалното нетно измерване .</w:t>
      </w:r>
    </w:p>
    <w:p w:rsidR="00EC6B4A" w:rsidRPr="00EC6B4A" w:rsidRDefault="00EC6B4A" w:rsidP="00EC6B4A">
      <w:pPr>
        <w:spacing w:line="276" w:lineRule="auto"/>
        <w:jc w:val="both"/>
        <w:rPr>
          <w:rFonts w:ascii="Times New Roman" w:hAnsi="Times New Roman" w:cs="Times New Roman"/>
          <w:sz w:val="24"/>
          <w:szCs w:val="24"/>
          <w:lang w:val="bg"/>
        </w:rPr>
      </w:pPr>
    </w:p>
    <w:p w:rsidR="007906A8" w:rsidRDefault="00E66962" w:rsidP="00EC6B4A">
      <w:pPr>
        <w:jc w:val="center"/>
        <w:rPr>
          <w:lang w:val="bg"/>
        </w:rPr>
      </w:pPr>
      <w:r>
        <w:rPr>
          <w:noProof/>
          <w:lang w:val="bg-BG" w:eastAsia="bg-BG"/>
        </w:rPr>
        <w:drawing>
          <wp:inline distT="0" distB="0" distL="0" distR="0" wp14:anchorId="644647C3">
            <wp:extent cx="1419225" cy="14192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pic:spPr>
                </pic:pic>
              </a:graphicData>
            </a:graphic>
          </wp:inline>
        </w:drawing>
      </w:r>
    </w:p>
    <w:p w:rsidR="007906A8" w:rsidRDefault="007906A8" w:rsidP="00B01311">
      <w:pPr>
        <w:pStyle w:val="Heading1"/>
        <w:numPr>
          <w:ilvl w:val="1"/>
          <w:numId w:val="191"/>
        </w:numPr>
        <w:spacing w:line="276" w:lineRule="auto"/>
        <w:rPr>
          <w:rFonts w:ascii="Times New Roman" w:hAnsi="Times New Roman" w:cs="Times New Roman"/>
          <w:color w:val="24B1C0"/>
          <w:lang w:val="bg"/>
        </w:rPr>
      </w:pPr>
      <w:bookmarkStart w:id="523" w:name="bookmark632"/>
      <w:bookmarkStart w:id="524" w:name="_Toc203141380"/>
      <w:r w:rsidRPr="00EC6B4A">
        <w:rPr>
          <w:rFonts w:ascii="Times New Roman" w:hAnsi="Times New Roman" w:cs="Times New Roman"/>
          <w:color w:val="24B1C0"/>
          <w:lang w:val="bg"/>
        </w:rPr>
        <w:lastRenderedPageBreak/>
        <w:t>Поетапен план за въвеждане на данни</w:t>
      </w:r>
      <w:bookmarkEnd w:id="523"/>
      <w:r w:rsidR="00632A77">
        <w:rPr>
          <w:rFonts w:ascii="Times New Roman" w:hAnsi="Times New Roman" w:cs="Times New Roman"/>
          <w:color w:val="24B1C0"/>
          <w:lang w:val="bg"/>
        </w:rPr>
        <w:t xml:space="preserve"> </w:t>
      </w:r>
      <w:r w:rsidRPr="00E66962">
        <w:rPr>
          <w:rFonts w:ascii="Times New Roman" w:hAnsi="Times New Roman" w:cs="Times New Roman"/>
          <w:color w:val="24B1C0"/>
          <w:lang w:val="bg"/>
        </w:rPr>
        <w:t>платформа в България</w:t>
      </w:r>
      <w:bookmarkEnd w:id="524"/>
    </w:p>
    <w:p w:rsidR="009D4C81" w:rsidRPr="009D4C81" w:rsidRDefault="009D4C81" w:rsidP="009D4C81">
      <w:pPr>
        <w:pStyle w:val="ListParagraph"/>
        <w:ind w:left="600"/>
        <w:rPr>
          <w:lang w:val="bg"/>
        </w:rPr>
      </w:pPr>
    </w:p>
    <w:p w:rsidR="007906A8" w:rsidRDefault="00632A77" w:rsidP="009D4C81">
      <w:pPr>
        <w:pStyle w:val="Heading3"/>
        <w:spacing w:line="276" w:lineRule="auto"/>
        <w:jc w:val="both"/>
        <w:rPr>
          <w:rFonts w:ascii="Times New Roman" w:hAnsi="Times New Roman" w:cs="Times New Roman"/>
          <w:color w:val="24B1C0"/>
          <w:sz w:val="28"/>
          <w:szCs w:val="28"/>
          <w:lang w:val="bg"/>
        </w:rPr>
      </w:pPr>
      <w:bookmarkStart w:id="525" w:name="bookmark635"/>
      <w:bookmarkStart w:id="526" w:name="_Toc203141381"/>
      <w:r>
        <w:rPr>
          <w:rFonts w:ascii="Times New Roman" w:hAnsi="Times New Roman" w:cs="Times New Roman"/>
          <w:color w:val="24B1C0"/>
          <w:sz w:val="28"/>
          <w:szCs w:val="28"/>
          <w:lang w:val="bg"/>
        </w:rPr>
        <w:t xml:space="preserve">9.6.1 </w:t>
      </w:r>
      <w:r w:rsidR="007906A8" w:rsidRPr="00632A77">
        <w:rPr>
          <w:rFonts w:ascii="Times New Roman" w:hAnsi="Times New Roman" w:cs="Times New Roman"/>
          <w:color w:val="24B1C0"/>
          <w:sz w:val="28"/>
          <w:szCs w:val="28"/>
          <w:lang w:val="bg"/>
        </w:rPr>
        <w:t>Етап 1 — етап на пилотиране/изпитване</w:t>
      </w:r>
      <w:bookmarkEnd w:id="525"/>
      <w:bookmarkEnd w:id="526"/>
    </w:p>
    <w:p w:rsidR="00632A77" w:rsidRPr="00632A77" w:rsidRDefault="00632A77" w:rsidP="00632A77">
      <w:pPr>
        <w:rPr>
          <w:lang w:val="bg"/>
        </w:rPr>
      </w:pPr>
    </w:p>
    <w:p w:rsidR="007906A8" w:rsidRPr="00632A77" w:rsidRDefault="007906A8" w:rsidP="009D4C81">
      <w:pPr>
        <w:tabs>
          <w:tab w:val="left" w:pos="8080"/>
        </w:tabs>
        <w:spacing w:line="276" w:lineRule="auto"/>
        <w:jc w:val="both"/>
        <w:rPr>
          <w:rFonts w:ascii="Times New Roman" w:hAnsi="Times New Roman" w:cs="Times New Roman"/>
          <w:sz w:val="24"/>
          <w:szCs w:val="24"/>
          <w:lang w:val="bg"/>
        </w:rPr>
      </w:pPr>
      <w:r w:rsidRPr="00632A77">
        <w:rPr>
          <w:rFonts w:ascii="Times New Roman" w:hAnsi="Times New Roman" w:cs="Times New Roman"/>
          <w:sz w:val="24"/>
          <w:szCs w:val="24"/>
          <w:lang w:val="bg"/>
        </w:rPr>
        <w:t>Този етап обхваща периода до пълната либерализация на пазара, като се използва съществуващата понастоящем технологична и регулаторна среда (т.е. това, което вече е на разположение).</w:t>
      </w:r>
    </w:p>
    <w:p w:rsidR="007906A8" w:rsidRPr="00632A77" w:rsidRDefault="007906A8" w:rsidP="009D4C81">
      <w:pPr>
        <w:spacing w:line="276" w:lineRule="auto"/>
        <w:jc w:val="both"/>
        <w:rPr>
          <w:rFonts w:ascii="Times New Roman" w:hAnsi="Times New Roman" w:cs="Times New Roman"/>
          <w:sz w:val="24"/>
          <w:szCs w:val="24"/>
          <w:lang w:val="bg"/>
        </w:rPr>
      </w:pPr>
      <w:r w:rsidRPr="00632A77">
        <w:rPr>
          <w:rFonts w:ascii="Times New Roman" w:hAnsi="Times New Roman" w:cs="Times New Roman"/>
          <w:sz w:val="24"/>
          <w:szCs w:val="24"/>
          <w:lang w:val="bg"/>
        </w:rPr>
        <w:t xml:space="preserve">Етапът трябва да се основава на </w:t>
      </w:r>
      <w:r w:rsidRPr="00632A77">
        <w:rPr>
          <w:rFonts w:ascii="Times New Roman" w:hAnsi="Times New Roman" w:cs="Times New Roman"/>
          <w:b/>
          <w:bCs/>
          <w:sz w:val="24"/>
          <w:szCs w:val="24"/>
          <w:lang w:val="bg"/>
        </w:rPr>
        <w:t>доброволно въвеждане:</w:t>
      </w:r>
    </w:p>
    <w:p w:rsidR="009D4C81" w:rsidRDefault="007906A8" w:rsidP="00B01311">
      <w:pPr>
        <w:pStyle w:val="ListParagraph"/>
        <w:numPr>
          <w:ilvl w:val="0"/>
          <w:numId w:val="192"/>
        </w:numPr>
        <w:tabs>
          <w:tab w:val="left" w:pos="8222"/>
        </w:tabs>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Клиентите могат да поискат инс</w:t>
      </w:r>
      <w:r w:rsidR="009D4C81">
        <w:rPr>
          <w:rFonts w:ascii="Times New Roman" w:hAnsi="Times New Roman" w:cs="Times New Roman"/>
          <w:sz w:val="24"/>
          <w:szCs w:val="24"/>
          <w:lang w:val="bg"/>
        </w:rPr>
        <w:t xml:space="preserve">талиране или препрограмиране на </w:t>
      </w:r>
      <w:r w:rsidRPr="009D4C81">
        <w:rPr>
          <w:rFonts w:ascii="Times New Roman" w:hAnsi="Times New Roman" w:cs="Times New Roman"/>
          <w:sz w:val="24"/>
          <w:szCs w:val="24"/>
          <w:lang w:val="bg"/>
        </w:rPr>
        <w:t>интелигентни измервателни уреди с 15-минутна резолюция.</w:t>
      </w:r>
    </w:p>
    <w:p w:rsidR="009D4C81" w:rsidRPr="009D4C81" w:rsidRDefault="007906A8" w:rsidP="00B01311">
      <w:pPr>
        <w:pStyle w:val="ListParagraph"/>
        <w:numPr>
          <w:ilvl w:val="0"/>
          <w:numId w:val="192"/>
        </w:numPr>
        <w:tabs>
          <w:tab w:val="left" w:pos="8222"/>
        </w:tabs>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Операторите на разпределителни системи трябва да отговорят в срок </w:t>
      </w:r>
      <w:r w:rsidRPr="009D4C81">
        <w:rPr>
          <w:rFonts w:ascii="Times New Roman" w:hAnsi="Times New Roman" w:cs="Times New Roman"/>
          <w:b/>
          <w:bCs/>
          <w:sz w:val="24"/>
          <w:szCs w:val="24"/>
          <w:lang w:val="bg"/>
        </w:rPr>
        <w:t>от 30 работни дни.</w:t>
      </w:r>
    </w:p>
    <w:p w:rsidR="007906A8" w:rsidRPr="009D4C81" w:rsidRDefault="007906A8" w:rsidP="00B01311">
      <w:pPr>
        <w:pStyle w:val="ListParagraph"/>
        <w:numPr>
          <w:ilvl w:val="0"/>
          <w:numId w:val="192"/>
        </w:numPr>
        <w:spacing w:line="276" w:lineRule="auto"/>
        <w:ind w:right="1136"/>
        <w:jc w:val="both"/>
        <w:rPr>
          <w:rFonts w:ascii="Times New Roman" w:hAnsi="Times New Roman" w:cs="Times New Roman"/>
          <w:sz w:val="24"/>
          <w:szCs w:val="24"/>
          <w:lang w:val="bg"/>
        </w:rPr>
      </w:pPr>
      <w:r w:rsidRPr="009D4C81">
        <w:rPr>
          <w:rFonts w:ascii="Times New Roman" w:hAnsi="Times New Roman" w:cs="Times New Roman"/>
          <w:sz w:val="24"/>
          <w:szCs w:val="24"/>
          <w:lang w:val="bg"/>
        </w:rPr>
        <w:t>ОРС предоставят достъп до:</w:t>
      </w:r>
    </w:p>
    <w:p w:rsidR="009D4C81" w:rsidRDefault="007906A8" w:rsidP="00B01311">
      <w:pPr>
        <w:pStyle w:val="ListParagraph"/>
        <w:numPr>
          <w:ilvl w:val="0"/>
          <w:numId w:val="193"/>
        </w:numPr>
        <w:spacing w:line="276" w:lineRule="auto"/>
        <w:jc w:val="both"/>
        <w:rPr>
          <w:rFonts w:ascii="Times New Roman" w:hAnsi="Times New Roman" w:cs="Times New Roman"/>
          <w:sz w:val="24"/>
          <w:szCs w:val="24"/>
          <w:lang w:val="bg"/>
        </w:rPr>
      </w:pPr>
      <w:r w:rsidRPr="009D4C81">
        <w:rPr>
          <w:rFonts w:ascii="Times New Roman" w:hAnsi="Times New Roman" w:cs="Times New Roman"/>
          <w:b/>
          <w:bCs/>
          <w:sz w:val="24"/>
          <w:szCs w:val="24"/>
          <w:lang w:val="bg"/>
        </w:rPr>
        <w:t xml:space="preserve">Данни в почти реално време (непроверени), </w:t>
      </w:r>
      <w:r w:rsidRPr="009D4C81">
        <w:rPr>
          <w:rFonts w:ascii="Times New Roman" w:hAnsi="Times New Roman" w:cs="Times New Roman"/>
          <w:sz w:val="24"/>
          <w:szCs w:val="24"/>
          <w:lang w:val="bg"/>
        </w:rPr>
        <w:t xml:space="preserve">Проверени </w:t>
      </w:r>
      <w:r w:rsidRPr="009D4C81">
        <w:rPr>
          <w:rFonts w:ascii="Times New Roman" w:hAnsi="Times New Roman" w:cs="Times New Roman"/>
          <w:b/>
          <w:bCs/>
          <w:sz w:val="24"/>
          <w:szCs w:val="24"/>
          <w:lang w:val="bg"/>
        </w:rPr>
        <w:t xml:space="preserve">динамични профили </w:t>
      </w:r>
      <w:r w:rsidRPr="009D4C81">
        <w:rPr>
          <w:rFonts w:ascii="Times New Roman" w:hAnsi="Times New Roman" w:cs="Times New Roman"/>
          <w:sz w:val="24"/>
          <w:szCs w:val="24"/>
          <w:lang w:val="bg"/>
        </w:rPr>
        <w:t>(налични в рамките на 10 дни след края на месеца, достъпни за най-малко 13 месеца).</w:t>
      </w:r>
    </w:p>
    <w:p w:rsidR="009D4C81" w:rsidRDefault="007906A8" w:rsidP="00B01311">
      <w:pPr>
        <w:pStyle w:val="ListParagraph"/>
        <w:numPr>
          <w:ilvl w:val="0"/>
          <w:numId w:val="194"/>
        </w:numPr>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Търговците на енергия използват пазарни данни, за да предлагат </w:t>
      </w:r>
      <w:r w:rsidRPr="009D4C81">
        <w:rPr>
          <w:rFonts w:ascii="Times New Roman" w:hAnsi="Times New Roman" w:cs="Times New Roman"/>
          <w:b/>
          <w:bCs/>
          <w:sz w:val="24"/>
          <w:szCs w:val="24"/>
          <w:lang w:val="bg"/>
        </w:rPr>
        <w:t xml:space="preserve">ценови сигнали за ден напред и в реално време, </w:t>
      </w:r>
      <w:r w:rsidRPr="009D4C81">
        <w:rPr>
          <w:rFonts w:ascii="Times New Roman" w:hAnsi="Times New Roman" w:cs="Times New Roman"/>
          <w:sz w:val="24"/>
          <w:szCs w:val="24"/>
          <w:lang w:val="bg"/>
        </w:rPr>
        <w:t>докато проверените данни за потреблението са основата за динамично фактуриране.</w:t>
      </w:r>
    </w:p>
    <w:p w:rsidR="007906A8" w:rsidRPr="009D4C81" w:rsidRDefault="007906A8" w:rsidP="009D4C81">
      <w:pPr>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Тази фаза позволява тестване на бизнес модели, насърчава ранното навлизане на пазара и изгражда доверие. Регулаторите (КЕВР) следва да съчетават </w:t>
      </w:r>
      <w:r w:rsidRPr="009D4C81">
        <w:rPr>
          <w:rFonts w:ascii="Times New Roman" w:hAnsi="Times New Roman" w:cs="Times New Roman"/>
          <w:b/>
          <w:bCs/>
          <w:sz w:val="24"/>
          <w:szCs w:val="24"/>
          <w:lang w:val="bg"/>
        </w:rPr>
        <w:t xml:space="preserve">стимули </w:t>
      </w:r>
      <w:r w:rsidRPr="009D4C81">
        <w:rPr>
          <w:rFonts w:ascii="Times New Roman" w:hAnsi="Times New Roman" w:cs="Times New Roman"/>
          <w:sz w:val="24"/>
          <w:szCs w:val="24"/>
          <w:lang w:val="bg"/>
        </w:rPr>
        <w:t xml:space="preserve">(напр. ускорени одобрения) и </w:t>
      </w:r>
      <w:r w:rsidRPr="009D4C81">
        <w:rPr>
          <w:rFonts w:ascii="Times New Roman" w:hAnsi="Times New Roman" w:cs="Times New Roman"/>
          <w:b/>
          <w:bCs/>
          <w:sz w:val="24"/>
          <w:szCs w:val="24"/>
          <w:lang w:val="bg"/>
        </w:rPr>
        <w:t xml:space="preserve">задължения и конкретни цели, </w:t>
      </w:r>
      <w:r w:rsidRPr="009D4C81">
        <w:rPr>
          <w:rFonts w:ascii="Times New Roman" w:hAnsi="Times New Roman" w:cs="Times New Roman"/>
          <w:sz w:val="24"/>
          <w:szCs w:val="24"/>
          <w:lang w:val="bg"/>
        </w:rPr>
        <w:t xml:space="preserve">за да се гарантира, че операторите на разпределителни системи и участниците на пазара подкрепят пилотния проект. Информационната </w:t>
      </w:r>
      <w:r w:rsidRPr="009D4C81">
        <w:rPr>
          <w:rFonts w:ascii="Times New Roman" w:hAnsi="Times New Roman" w:cs="Times New Roman"/>
          <w:b/>
          <w:bCs/>
          <w:sz w:val="24"/>
          <w:szCs w:val="24"/>
          <w:lang w:val="bg"/>
        </w:rPr>
        <w:t xml:space="preserve">кампания </w:t>
      </w:r>
      <w:r w:rsidRPr="009D4C81">
        <w:rPr>
          <w:rFonts w:ascii="Times New Roman" w:hAnsi="Times New Roman" w:cs="Times New Roman"/>
          <w:sz w:val="24"/>
          <w:szCs w:val="24"/>
          <w:lang w:val="bg"/>
        </w:rPr>
        <w:t>следва да повиши обществената осведоменост.</w:t>
      </w:r>
    </w:p>
    <w:p w:rsidR="00E66962" w:rsidRPr="00632A77" w:rsidRDefault="00E66962" w:rsidP="00632A77">
      <w:pPr>
        <w:spacing w:line="276" w:lineRule="auto"/>
        <w:ind w:left="1418" w:right="1136"/>
        <w:jc w:val="both"/>
        <w:rPr>
          <w:rFonts w:ascii="Times New Roman" w:hAnsi="Times New Roman" w:cs="Times New Roman"/>
          <w:sz w:val="24"/>
          <w:szCs w:val="24"/>
          <w:lang w:val="bg"/>
        </w:rPr>
      </w:pPr>
    </w:p>
    <w:p w:rsidR="007906A8" w:rsidRDefault="00632A77" w:rsidP="009D4C81">
      <w:pPr>
        <w:pStyle w:val="Heading3"/>
        <w:spacing w:line="276" w:lineRule="auto"/>
        <w:jc w:val="both"/>
        <w:rPr>
          <w:rFonts w:ascii="Times New Roman" w:hAnsi="Times New Roman" w:cs="Times New Roman"/>
          <w:color w:val="24B1C0"/>
          <w:sz w:val="28"/>
          <w:szCs w:val="28"/>
          <w:lang w:val="bg"/>
        </w:rPr>
      </w:pPr>
      <w:bookmarkStart w:id="527" w:name="bookmark637"/>
      <w:bookmarkStart w:id="528" w:name="_Toc203141382"/>
      <w:r>
        <w:rPr>
          <w:rFonts w:ascii="Times New Roman" w:hAnsi="Times New Roman" w:cs="Times New Roman"/>
          <w:color w:val="24B1C0"/>
          <w:sz w:val="28"/>
          <w:szCs w:val="28"/>
          <w:lang w:val="bg"/>
        </w:rPr>
        <w:t xml:space="preserve">9.6.2 </w:t>
      </w:r>
      <w:r w:rsidR="007906A8" w:rsidRPr="00632A77">
        <w:rPr>
          <w:rFonts w:ascii="Times New Roman" w:hAnsi="Times New Roman" w:cs="Times New Roman"/>
          <w:color w:val="24B1C0"/>
          <w:sz w:val="28"/>
          <w:szCs w:val="28"/>
          <w:lang w:val="bg"/>
        </w:rPr>
        <w:t>Етап 2 — Пълно разгръщане при либерализацията на пазара</w:t>
      </w:r>
      <w:bookmarkEnd w:id="527"/>
      <w:bookmarkEnd w:id="528"/>
    </w:p>
    <w:p w:rsidR="00632A77" w:rsidRPr="00632A77" w:rsidRDefault="00632A77" w:rsidP="00632A77">
      <w:pPr>
        <w:rPr>
          <w:lang w:val="bg"/>
        </w:rPr>
      </w:pPr>
    </w:p>
    <w:p w:rsidR="007906A8" w:rsidRPr="00632A77" w:rsidRDefault="007906A8" w:rsidP="009D4C81">
      <w:pPr>
        <w:spacing w:line="276" w:lineRule="auto"/>
        <w:ind w:right="1136"/>
        <w:jc w:val="both"/>
        <w:rPr>
          <w:rFonts w:ascii="Times New Roman" w:hAnsi="Times New Roman" w:cs="Times New Roman"/>
          <w:sz w:val="24"/>
          <w:szCs w:val="24"/>
          <w:lang w:val="bg"/>
        </w:rPr>
      </w:pPr>
      <w:r w:rsidRPr="00632A77">
        <w:rPr>
          <w:rFonts w:ascii="Times New Roman" w:hAnsi="Times New Roman" w:cs="Times New Roman"/>
          <w:sz w:val="24"/>
          <w:szCs w:val="24"/>
          <w:lang w:val="bg"/>
        </w:rPr>
        <w:t xml:space="preserve">Процесът на този етап ще бъде </w:t>
      </w:r>
      <w:r w:rsidRPr="00632A77">
        <w:rPr>
          <w:rFonts w:ascii="Times New Roman" w:hAnsi="Times New Roman" w:cs="Times New Roman"/>
          <w:b/>
          <w:bCs/>
          <w:sz w:val="24"/>
          <w:szCs w:val="24"/>
          <w:lang w:val="bg"/>
        </w:rPr>
        <w:t>задължителен за всички потребители:</w:t>
      </w:r>
    </w:p>
    <w:p w:rsidR="009D4C81" w:rsidRPr="009D4C81" w:rsidRDefault="007906A8" w:rsidP="00B01311">
      <w:pPr>
        <w:pStyle w:val="ListParagraph"/>
        <w:numPr>
          <w:ilvl w:val="0"/>
          <w:numId w:val="194"/>
        </w:numPr>
        <w:spacing w:line="276" w:lineRule="auto"/>
        <w:ind w:right="-142"/>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Всички клиенти преминават към </w:t>
      </w:r>
      <w:r w:rsidRPr="009D4C81">
        <w:rPr>
          <w:rFonts w:ascii="Times New Roman" w:hAnsi="Times New Roman" w:cs="Times New Roman"/>
          <w:b/>
          <w:bCs/>
          <w:sz w:val="24"/>
          <w:szCs w:val="24"/>
          <w:lang w:val="bg"/>
        </w:rPr>
        <w:t>динамично ценообразуване и интелигентно фактуриране.</w:t>
      </w:r>
    </w:p>
    <w:p w:rsidR="009D4C81" w:rsidRDefault="007906A8" w:rsidP="00B01311">
      <w:pPr>
        <w:pStyle w:val="ListParagraph"/>
        <w:numPr>
          <w:ilvl w:val="0"/>
          <w:numId w:val="194"/>
        </w:numPr>
        <w:spacing w:line="276" w:lineRule="auto"/>
        <w:ind w:right="-142"/>
        <w:jc w:val="both"/>
        <w:rPr>
          <w:rFonts w:ascii="Times New Roman" w:hAnsi="Times New Roman" w:cs="Times New Roman"/>
          <w:sz w:val="24"/>
          <w:szCs w:val="24"/>
          <w:lang w:val="bg"/>
        </w:rPr>
      </w:pPr>
      <w:r w:rsidRPr="009D4C81">
        <w:rPr>
          <w:rFonts w:ascii="Times New Roman" w:hAnsi="Times New Roman" w:cs="Times New Roman"/>
          <w:sz w:val="24"/>
          <w:szCs w:val="24"/>
          <w:lang w:val="bg"/>
        </w:rPr>
        <w:t>ОРС разширяват платформите и инфраструктурата.</w:t>
      </w:r>
    </w:p>
    <w:p w:rsidR="009D4C81" w:rsidRDefault="007906A8" w:rsidP="00B01311">
      <w:pPr>
        <w:pStyle w:val="ListParagraph"/>
        <w:numPr>
          <w:ilvl w:val="0"/>
          <w:numId w:val="194"/>
        </w:numPr>
        <w:spacing w:line="276" w:lineRule="auto"/>
        <w:ind w:right="-142"/>
        <w:jc w:val="both"/>
        <w:rPr>
          <w:rFonts w:ascii="Times New Roman" w:hAnsi="Times New Roman" w:cs="Times New Roman"/>
          <w:sz w:val="24"/>
          <w:szCs w:val="24"/>
          <w:lang w:val="bg"/>
        </w:rPr>
      </w:pPr>
      <w:r w:rsidRPr="009D4C81">
        <w:rPr>
          <w:rFonts w:ascii="Times New Roman" w:hAnsi="Times New Roman" w:cs="Times New Roman"/>
          <w:sz w:val="24"/>
          <w:szCs w:val="24"/>
          <w:lang w:val="bg"/>
        </w:rPr>
        <w:t>Участниците на пазара интегрират предложенията.</w:t>
      </w:r>
    </w:p>
    <w:p w:rsidR="009D4C81" w:rsidRPr="009D4C81" w:rsidRDefault="007906A8" w:rsidP="00B01311">
      <w:pPr>
        <w:pStyle w:val="ListParagraph"/>
        <w:numPr>
          <w:ilvl w:val="0"/>
          <w:numId w:val="194"/>
        </w:numPr>
        <w:spacing w:line="276" w:lineRule="auto"/>
        <w:ind w:right="-142"/>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Надзорът от страна на КЕВР гарантира </w:t>
      </w:r>
      <w:r w:rsidRPr="009D4C81">
        <w:rPr>
          <w:rFonts w:ascii="Times New Roman" w:hAnsi="Times New Roman" w:cs="Times New Roman"/>
          <w:b/>
          <w:bCs/>
          <w:sz w:val="24"/>
          <w:szCs w:val="24"/>
          <w:lang w:val="bg"/>
        </w:rPr>
        <w:t>защитата на данните,</w:t>
      </w:r>
      <w:r w:rsidRPr="009D4C81">
        <w:rPr>
          <w:rFonts w:ascii="Times New Roman" w:hAnsi="Times New Roman" w:cs="Times New Roman"/>
          <w:sz w:val="24"/>
          <w:szCs w:val="24"/>
          <w:lang w:val="bg"/>
        </w:rPr>
        <w:t xml:space="preserve"> </w:t>
      </w:r>
      <w:r w:rsidRPr="009D4C81">
        <w:rPr>
          <w:rFonts w:ascii="Times New Roman" w:hAnsi="Times New Roman" w:cs="Times New Roman"/>
          <w:b/>
          <w:bCs/>
          <w:sz w:val="24"/>
          <w:szCs w:val="24"/>
          <w:lang w:val="bg"/>
        </w:rPr>
        <w:t>правата на потребителите</w:t>
      </w:r>
      <w:r w:rsidRPr="009D4C81">
        <w:rPr>
          <w:rFonts w:ascii="Times New Roman" w:hAnsi="Times New Roman" w:cs="Times New Roman"/>
          <w:sz w:val="24"/>
          <w:szCs w:val="24"/>
          <w:lang w:val="bg"/>
        </w:rPr>
        <w:t xml:space="preserve"> и </w:t>
      </w:r>
      <w:r w:rsidRPr="009D4C81">
        <w:rPr>
          <w:rFonts w:ascii="Times New Roman" w:hAnsi="Times New Roman" w:cs="Times New Roman"/>
          <w:b/>
          <w:bCs/>
          <w:sz w:val="24"/>
          <w:szCs w:val="24"/>
          <w:lang w:val="bg"/>
        </w:rPr>
        <w:t>справедливостта на пазара.</w:t>
      </w:r>
    </w:p>
    <w:p w:rsidR="007906A8" w:rsidRPr="009D4C81" w:rsidRDefault="007906A8" w:rsidP="00B01311">
      <w:pPr>
        <w:pStyle w:val="ListParagraph"/>
        <w:numPr>
          <w:ilvl w:val="0"/>
          <w:numId w:val="194"/>
        </w:numPr>
        <w:spacing w:line="276" w:lineRule="auto"/>
        <w:ind w:right="-142"/>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Приоритет, даден на по-големите потребители и ранните осиновители; </w:t>
      </w:r>
      <w:r w:rsidRPr="009D4C81">
        <w:rPr>
          <w:rFonts w:ascii="Times New Roman" w:hAnsi="Times New Roman" w:cs="Times New Roman"/>
          <w:b/>
          <w:bCs/>
          <w:sz w:val="24"/>
          <w:szCs w:val="24"/>
          <w:lang w:val="bg"/>
        </w:rPr>
        <w:t>възможност за дерогация за ограничен период от време за потребители с нулево/ниско потребление</w:t>
      </w:r>
      <w:r w:rsidRPr="009D4C81">
        <w:rPr>
          <w:b/>
          <w:bCs/>
          <w:lang w:val="bg"/>
        </w:rPr>
        <w:t>.</w:t>
      </w:r>
    </w:p>
    <w:p w:rsidR="00632A77" w:rsidRDefault="00632A77" w:rsidP="009D4C81">
      <w:pPr>
        <w:pStyle w:val="Heading3"/>
        <w:tabs>
          <w:tab w:val="left" w:pos="8222"/>
        </w:tabs>
        <w:spacing w:line="276" w:lineRule="auto"/>
        <w:jc w:val="both"/>
        <w:rPr>
          <w:rFonts w:ascii="Times New Roman" w:hAnsi="Times New Roman" w:cs="Times New Roman"/>
          <w:color w:val="24B1C0"/>
          <w:sz w:val="28"/>
          <w:szCs w:val="28"/>
          <w:lang w:val="bg"/>
        </w:rPr>
      </w:pPr>
      <w:bookmarkStart w:id="529" w:name="bookmark639"/>
      <w:bookmarkStart w:id="530" w:name="_Toc203141383"/>
      <w:r>
        <w:rPr>
          <w:rFonts w:ascii="Times New Roman" w:hAnsi="Times New Roman" w:cs="Times New Roman"/>
          <w:color w:val="24B1C0"/>
          <w:sz w:val="28"/>
          <w:szCs w:val="28"/>
          <w:lang w:val="bg"/>
        </w:rPr>
        <w:t xml:space="preserve">9.6.3 </w:t>
      </w:r>
      <w:r w:rsidR="007906A8" w:rsidRPr="00632A77">
        <w:rPr>
          <w:rFonts w:ascii="Times New Roman" w:hAnsi="Times New Roman" w:cs="Times New Roman"/>
          <w:color w:val="24B1C0"/>
          <w:sz w:val="28"/>
          <w:szCs w:val="28"/>
          <w:lang w:val="bg"/>
        </w:rPr>
        <w:t>Етап 3 — незадължителен централизиран център за данни</w:t>
      </w:r>
      <w:bookmarkEnd w:id="529"/>
      <w:bookmarkEnd w:id="530"/>
    </w:p>
    <w:p w:rsidR="00632A77" w:rsidRPr="00632A77" w:rsidRDefault="00632A77" w:rsidP="009D4C81">
      <w:pPr>
        <w:tabs>
          <w:tab w:val="left" w:pos="8222"/>
        </w:tabs>
        <w:rPr>
          <w:lang w:val="bg"/>
        </w:rPr>
      </w:pPr>
    </w:p>
    <w:p w:rsidR="007906A8" w:rsidRPr="00632A77" w:rsidRDefault="007906A8" w:rsidP="009D4C81">
      <w:pPr>
        <w:tabs>
          <w:tab w:val="left" w:pos="8222"/>
        </w:tabs>
        <w:spacing w:line="276" w:lineRule="auto"/>
        <w:jc w:val="both"/>
        <w:rPr>
          <w:rFonts w:ascii="Times New Roman" w:hAnsi="Times New Roman" w:cs="Times New Roman"/>
          <w:sz w:val="24"/>
          <w:szCs w:val="24"/>
          <w:lang w:val="bg"/>
        </w:rPr>
      </w:pPr>
      <w:r w:rsidRPr="00632A77">
        <w:rPr>
          <w:rFonts w:ascii="Times New Roman" w:hAnsi="Times New Roman" w:cs="Times New Roman"/>
          <w:sz w:val="24"/>
          <w:szCs w:val="24"/>
          <w:lang w:val="bg"/>
        </w:rPr>
        <w:lastRenderedPageBreak/>
        <w:t>Може да се обмисли създаването на централизиран център за данни, ако това е обосновано от обема и сложността:</w:t>
      </w:r>
    </w:p>
    <w:p w:rsidR="00632A77" w:rsidRPr="009D4C81" w:rsidRDefault="007906A8" w:rsidP="009D4C81">
      <w:pPr>
        <w:tabs>
          <w:tab w:val="left" w:pos="8222"/>
        </w:tabs>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Национална </w:t>
      </w:r>
      <w:r w:rsidRPr="009D4C81">
        <w:rPr>
          <w:rFonts w:ascii="Times New Roman" w:hAnsi="Times New Roman" w:cs="Times New Roman"/>
          <w:b/>
          <w:bCs/>
          <w:sz w:val="24"/>
          <w:szCs w:val="24"/>
          <w:lang w:val="bg"/>
        </w:rPr>
        <w:t xml:space="preserve">платформа </w:t>
      </w:r>
      <w:r w:rsidRPr="009D4C81">
        <w:rPr>
          <w:rFonts w:ascii="Times New Roman" w:hAnsi="Times New Roman" w:cs="Times New Roman"/>
          <w:sz w:val="24"/>
          <w:szCs w:val="24"/>
          <w:lang w:val="bg"/>
        </w:rPr>
        <w:t>(напр. хоствана от ЕОС) може да централизира обмена на данни.</w:t>
      </w:r>
    </w:p>
    <w:p w:rsidR="009D4C81" w:rsidRDefault="007906A8" w:rsidP="00B01311">
      <w:pPr>
        <w:pStyle w:val="ListParagraph"/>
        <w:numPr>
          <w:ilvl w:val="0"/>
          <w:numId w:val="195"/>
        </w:numPr>
        <w:tabs>
          <w:tab w:val="left" w:pos="8222"/>
        </w:tabs>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 xml:space="preserve">Вдъхновено от </w:t>
      </w:r>
      <w:r w:rsidRPr="009D4C81">
        <w:rPr>
          <w:rFonts w:ascii="Times New Roman" w:hAnsi="Times New Roman" w:cs="Times New Roman"/>
          <w:b/>
          <w:bCs/>
          <w:sz w:val="24"/>
          <w:szCs w:val="24"/>
          <w:lang w:val="bg"/>
        </w:rPr>
        <w:t>норвежката Elhub,</w:t>
      </w:r>
      <w:r w:rsidRPr="009D4C81">
        <w:rPr>
          <w:rFonts w:ascii="Times New Roman" w:hAnsi="Times New Roman" w:cs="Times New Roman"/>
          <w:sz w:val="24"/>
          <w:szCs w:val="24"/>
          <w:lang w:val="bg"/>
        </w:rPr>
        <w:t xml:space="preserve"> това би подобрило координацията между операторите на разпределителни системи, търговците, доставчиците на агрегирани услуги и произвеждащите потребители.</w:t>
      </w:r>
    </w:p>
    <w:p w:rsidR="007906A8" w:rsidRPr="009D4C81" w:rsidRDefault="007906A8" w:rsidP="00B01311">
      <w:pPr>
        <w:pStyle w:val="ListParagraph"/>
        <w:numPr>
          <w:ilvl w:val="0"/>
          <w:numId w:val="195"/>
        </w:numPr>
        <w:tabs>
          <w:tab w:val="left" w:pos="8222"/>
        </w:tabs>
        <w:spacing w:line="276" w:lineRule="auto"/>
        <w:jc w:val="both"/>
        <w:rPr>
          <w:rFonts w:ascii="Times New Roman" w:hAnsi="Times New Roman" w:cs="Times New Roman"/>
          <w:sz w:val="24"/>
          <w:szCs w:val="24"/>
          <w:lang w:val="bg"/>
        </w:rPr>
      </w:pPr>
      <w:r w:rsidRPr="009D4C81">
        <w:rPr>
          <w:rFonts w:ascii="Times New Roman" w:hAnsi="Times New Roman" w:cs="Times New Roman"/>
          <w:sz w:val="24"/>
          <w:szCs w:val="24"/>
          <w:lang w:val="bg"/>
        </w:rPr>
        <w:t>Въведено само след консултация със заинтересованите страни и доказателства, че то подобрява ефективността и доверието отвъд децентрализираните системи на операторите на разпределителни системи.</w:t>
      </w:r>
      <w:r w:rsidR="00632A77" w:rsidRPr="009D4C81">
        <w:rPr>
          <w:rFonts w:ascii="Times New Roman" w:hAnsi="Times New Roman" w:cs="Times New Roman"/>
          <w:sz w:val="24"/>
          <w:szCs w:val="24"/>
          <w:lang w:val="bg"/>
        </w:rPr>
        <w:t xml:space="preserve"> </w:t>
      </w:r>
      <w:r w:rsidRPr="009D4C81">
        <w:rPr>
          <w:rFonts w:ascii="Times New Roman" w:hAnsi="Times New Roman" w:cs="Times New Roman"/>
          <w:b/>
          <w:bCs/>
          <w:sz w:val="24"/>
          <w:szCs w:val="24"/>
          <w:lang w:val="bg"/>
        </w:rPr>
        <w:t>Декларация за възможното използване на генеративен ИИ и технологии, подпомагани от ИИ, в процеса на писане.</w:t>
      </w:r>
    </w:p>
    <w:p w:rsidR="007906A8" w:rsidRPr="006971CE" w:rsidRDefault="007906A8" w:rsidP="006971CE">
      <w:pPr>
        <w:tabs>
          <w:tab w:val="left" w:pos="8222"/>
        </w:tabs>
        <w:spacing w:line="276" w:lineRule="auto"/>
        <w:jc w:val="both"/>
        <w:rPr>
          <w:rFonts w:ascii="Times New Roman" w:hAnsi="Times New Roman" w:cs="Times New Roman"/>
          <w:sz w:val="24"/>
          <w:szCs w:val="24"/>
          <w:lang w:val="bg"/>
        </w:rPr>
      </w:pPr>
      <w:r w:rsidRPr="00632A77">
        <w:rPr>
          <w:rFonts w:ascii="Times New Roman" w:hAnsi="Times New Roman" w:cs="Times New Roman"/>
          <w:sz w:val="24"/>
          <w:szCs w:val="24"/>
          <w:lang w:val="bg"/>
        </w:rPr>
        <w:t>По време на подготовката на тази работа авторите може да са използвали ChatGPT, езиков модел на ИИ, разработен от OpenAI, или други инструменти на ИИ за подобряване на граматиката и четивността. След като използваха този инструмент/услуга, авторите прегледаха и редактираха съдържанието според нуждите и поеха пълна отговорност за съдър</w:t>
      </w:r>
      <w:r w:rsidR="006971CE">
        <w:rPr>
          <w:rFonts w:ascii="Times New Roman" w:hAnsi="Times New Roman" w:cs="Times New Roman"/>
          <w:sz w:val="24"/>
          <w:szCs w:val="24"/>
          <w:lang w:val="bg"/>
        </w:rPr>
        <w:t>жанието на публикацията</w:t>
      </w:r>
    </w:p>
    <w:sectPr w:rsidR="007906A8" w:rsidRPr="006971CE" w:rsidSect="006971CE">
      <w:footerReference w:type="even" r:id="rId70"/>
      <w:footerReference w:type="default" r:id="rId71"/>
      <w:pgSz w:w="12211" w:h="17419"/>
      <w:pgMar w:top="1417" w:right="1417" w:bottom="1417" w:left="1417" w:header="57" w:footer="283" w:gutter="0"/>
      <w:pgNumType w:start="149"/>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7EA3" w:rsidRDefault="00567EA3" w:rsidP="007906A8">
      <w:pPr>
        <w:spacing w:after="0" w:line="240" w:lineRule="auto"/>
      </w:pPr>
      <w:r>
        <w:separator/>
      </w:r>
    </w:p>
  </w:endnote>
  <w:endnote w:type="continuationSeparator" w:id="0">
    <w:p w:rsidR="00567EA3" w:rsidRDefault="00567EA3" w:rsidP="007906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72576" behindDoc="1" locked="0" layoutInCell="1" allowOverlap="1" wp14:anchorId="72659798" wp14:editId="3E75A365">
              <wp:simplePos x="0" y="0"/>
              <wp:positionH relativeFrom="page">
                <wp:posOffset>6599555</wp:posOffset>
              </wp:positionH>
              <wp:positionV relativeFrom="page">
                <wp:posOffset>10420350</wp:posOffset>
              </wp:positionV>
              <wp:extent cx="133985" cy="91440"/>
              <wp:effectExtent l="0" t="0" r="0" b="0"/>
              <wp:wrapNone/>
              <wp:docPr id="159" name="Форма 159"/>
              <wp:cNvGraphicFramePr/>
              <a:graphic xmlns:a="http://schemas.openxmlformats.org/drawingml/2006/main">
                <a:graphicData uri="http://schemas.microsoft.com/office/word/2010/wordprocessingShape">
                  <wps:wsp>
                    <wps:cNvSpPr txBox="1"/>
                    <wps:spPr>
                      <a:xfrm>
                        <a:off x="0" y="0"/>
                        <a:ext cx="133985" cy="91440"/>
                      </a:xfrm>
                      <a:prstGeom prst="rect">
                        <a:avLst/>
                      </a:prstGeom>
                      <a:noFill/>
                    </wps:spPr>
                    <wps:txbx>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D13962" w:rsidRPr="00D13962">
                            <w:rPr>
                              <w:rStyle w:val="Headerorfooter2"/>
                              <w:rFonts w:ascii="Calibri" w:eastAsia="Calibri" w:hAnsi="Calibri" w:cs="Calibri"/>
                              <w:noProof/>
                              <w:sz w:val="22"/>
                              <w:szCs w:val="22"/>
                            </w:rPr>
                            <w:t>67</w:t>
                          </w:r>
                          <w:r>
                            <w:rPr>
                              <w:rStyle w:val="Headerorfooter2"/>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72659798" id="_x0000_t202" coordsize="21600,21600" o:spt="202" path="m,l,21600r21600,l21600,xe">
              <v:stroke joinstyle="miter"/>
              <v:path gradientshapeok="t" o:connecttype="rect"/>
            </v:shapetype>
            <v:shape id="Форма 159" o:spid="_x0000_s1030" type="#_x0000_t202" style="position:absolute;margin-left:519.65pt;margin-top:820.5pt;width:10.55pt;height:7.2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" filled="f" stroked="f">
              <v:textbox style="mso-fit-shape-to-text:t" inset="0,0,0,0">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D13962" w:rsidRPr="00D13962">
                      <w:rPr>
                        <w:rStyle w:val="Headerorfooter2"/>
                        <w:rFonts w:ascii="Calibri" w:eastAsia="Calibri" w:hAnsi="Calibri" w:cs="Calibri"/>
                        <w:noProof/>
                        <w:sz w:val="22"/>
                        <w:szCs w:val="22"/>
                      </w:rPr>
                      <w:t>67</w:t>
                    </w:r>
                    <w:r>
                      <w:rPr>
                        <w:rStyle w:val="Headerorfooter2"/>
                        <w:rFonts w:ascii="Calibri" w:eastAsia="Calibri" w:hAnsi="Calibri" w:cs="Calibri"/>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96128" behindDoc="1" locked="0" layoutInCell="1" allowOverlap="1" wp14:anchorId="28631CC4" wp14:editId="7D536257">
              <wp:simplePos x="0" y="0"/>
              <wp:positionH relativeFrom="page">
                <wp:posOffset>6523990</wp:posOffset>
              </wp:positionH>
              <wp:positionV relativeFrom="page">
                <wp:posOffset>10130155</wp:posOffset>
              </wp:positionV>
              <wp:extent cx="210185" cy="97790"/>
              <wp:effectExtent l="0" t="0" r="0" b="0"/>
              <wp:wrapNone/>
              <wp:docPr id="297" name="Форма 297"/>
              <wp:cNvGraphicFramePr/>
              <a:graphic xmlns:a="http://schemas.openxmlformats.org/drawingml/2006/main">
                <a:graphicData uri="http://schemas.microsoft.com/office/word/2010/wordprocessingShape">
                  <wps:wsp>
                    <wps:cNvSpPr txBox="1"/>
                    <wps:spPr>
                      <a:xfrm>
                        <a:off x="0" y="0"/>
                        <a:ext cx="210185" cy="97790"/>
                      </a:xfrm>
                      <a:prstGeom prst="rect">
                        <a:avLst/>
                      </a:prstGeom>
                      <a:noFill/>
                    </wps:spPr>
                    <wps:txbx>
                      <w:txbxContent>
                        <w:p w:rsidR="001A38FE" w:rsidRDefault="001A38FE">
                          <w:pPr>
                            <w:pStyle w:val="Headerorfooter10"/>
                            <w:jc w:val="left"/>
                            <w:rPr>
                              <w:sz w:val="24"/>
                              <w:szCs w:val="24"/>
                            </w:rPr>
                          </w:pPr>
                        </w:p>
                      </w:txbxContent>
                    </wps:txbx>
                    <wps:bodyPr wrap="none" lIns="0" tIns="0" rIns="0" bIns="0">
                      <a:spAutoFit/>
                    </wps:bodyPr>
                  </wps:wsp>
                </a:graphicData>
              </a:graphic>
            </wp:anchor>
          </w:drawing>
        </mc:Choice>
        <mc:Fallback>
          <w:pict>
            <v:shapetype w14:anchorId="28631CC4" id="_x0000_t202" coordsize="21600,21600" o:spt="202" path="m,l,21600r21600,l21600,xe">
              <v:stroke joinstyle="miter"/>
              <v:path gradientshapeok="t" o:connecttype="rect"/>
            </v:shapetype>
            <v:shape id="Форма 297" o:spid="_x0000_s1036" type="#_x0000_t202" style="position:absolute;margin-left:513.7pt;margin-top:797.65pt;width:16.55pt;height:7.7pt;z-index:-25162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" filled="f" stroked="f">
              <v:textbox style="mso-fit-shape-to-text:t" inset="0,0,0,0">
                <w:txbxContent>
                  <w:p w:rsidR="001A38FE" w:rsidRDefault="001A38FE">
                    <w:pPr>
                      <w:pStyle w:val="Headerorfooter10"/>
                      <w:jc w:val="left"/>
                      <w:rPr>
                        <w:sz w:val="24"/>
                        <w:szCs w:val="24"/>
                      </w:rPr>
                    </w:pP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805441"/>
      <w:docPartObj>
        <w:docPartGallery w:val="Page Numbers (Bottom of Page)"/>
        <w:docPartUnique/>
      </w:docPartObj>
    </w:sdtPr>
    <w:sdtEndPr>
      <w:rPr>
        <w:noProof/>
      </w:rPr>
    </w:sdtEndPr>
    <w:sdtContent>
      <w:p w:rsidR="001A38FE" w:rsidRDefault="001A38FE">
        <w:pPr>
          <w:pStyle w:val="Footer"/>
          <w:jc w:val="right"/>
        </w:pPr>
        <w:r>
          <w:rPr>
            <w:lang w:val="bg-BG"/>
          </w:rPr>
          <w:t xml:space="preserve">  </w:t>
        </w:r>
        <w:r>
          <w:fldChar w:fldCharType="begin"/>
        </w:r>
        <w:r>
          <w:instrText xml:space="preserve"> PAGE   \* MERGEFORMAT </w:instrText>
        </w:r>
        <w:r>
          <w:fldChar w:fldCharType="separate"/>
        </w:r>
        <w:r w:rsidR="002E7828">
          <w:rPr>
            <w:noProof/>
          </w:rPr>
          <w:t>141</w:t>
        </w:r>
        <w:r>
          <w:rPr>
            <w:noProof/>
          </w:rPr>
          <w:fldChar w:fldCharType="end"/>
        </w:r>
      </w:p>
    </w:sdtContent>
  </w:sdt>
  <w:p w:rsidR="001A38FE" w:rsidRDefault="001A38FE">
    <w:pPr>
      <w:spacing w:line="1" w:lineRule="exac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301528"/>
      <w:docPartObj>
        <w:docPartGallery w:val="Page Numbers (Bottom of Page)"/>
        <w:docPartUnique/>
      </w:docPartObj>
    </w:sdtPr>
    <w:sdtEndPr>
      <w:rPr>
        <w:noProof/>
      </w:rPr>
    </w:sdtEndPr>
    <w:sdtContent>
      <w:p w:rsidR="001A38FE" w:rsidRDefault="001A38FE">
        <w:pPr>
          <w:pStyle w:val="Footer"/>
          <w:jc w:val="right"/>
        </w:pPr>
        <w:r>
          <w:fldChar w:fldCharType="begin"/>
        </w:r>
        <w:r>
          <w:instrText xml:space="preserve"> PAGE   \* MERGEFORMAT </w:instrText>
        </w:r>
        <w:r>
          <w:fldChar w:fldCharType="separate"/>
        </w:r>
        <w:r w:rsidR="002E7828">
          <w:rPr>
            <w:noProof/>
          </w:rPr>
          <w:t>161</w:t>
        </w:r>
        <w:r>
          <w:rPr>
            <w:noProof/>
          </w:rPr>
          <w:fldChar w:fldCharType="end"/>
        </w:r>
      </w:p>
    </w:sdtContent>
  </w:sdt>
  <w:p w:rsidR="001A38FE" w:rsidRDefault="001A38FE">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71552" behindDoc="1" locked="0" layoutInCell="1" allowOverlap="1" wp14:anchorId="420A393A" wp14:editId="1D423040">
              <wp:simplePos x="0" y="0"/>
              <wp:positionH relativeFrom="page">
                <wp:posOffset>6599555</wp:posOffset>
              </wp:positionH>
              <wp:positionV relativeFrom="page">
                <wp:posOffset>10420350</wp:posOffset>
              </wp:positionV>
              <wp:extent cx="133985" cy="91440"/>
              <wp:effectExtent l="0" t="0" r="0" b="0"/>
              <wp:wrapNone/>
              <wp:docPr id="157" name="Форма 157"/>
              <wp:cNvGraphicFramePr/>
              <a:graphic xmlns:a="http://schemas.openxmlformats.org/drawingml/2006/main">
                <a:graphicData uri="http://schemas.microsoft.com/office/word/2010/wordprocessingShape">
                  <wps:wsp>
                    <wps:cNvSpPr txBox="1"/>
                    <wps:spPr>
                      <a:xfrm>
                        <a:off x="0" y="0"/>
                        <a:ext cx="133985" cy="91440"/>
                      </a:xfrm>
                      <a:prstGeom prst="rect">
                        <a:avLst/>
                      </a:prstGeom>
                      <a:noFill/>
                    </wps:spPr>
                    <wps:txbx>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2E7828" w:rsidRPr="002E7828">
                            <w:rPr>
                              <w:rStyle w:val="Headerorfooter2"/>
                              <w:rFonts w:ascii="Calibri" w:eastAsia="Calibri" w:hAnsi="Calibri" w:cs="Calibri"/>
                              <w:noProof/>
                              <w:sz w:val="22"/>
                              <w:szCs w:val="22"/>
                            </w:rPr>
                            <w:t>2</w:t>
                          </w:r>
                          <w:r>
                            <w:rPr>
                              <w:rStyle w:val="Headerorfooter2"/>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420A393A" id="_x0000_t202" coordsize="21600,21600" o:spt="202" path="m,l,21600r21600,l21600,xe">
              <v:stroke joinstyle="miter"/>
              <v:path gradientshapeok="t" o:connecttype="rect"/>
            </v:shapetype>
            <v:shape id="Форма 157" o:spid="_x0000_s1031" type="#_x0000_t202" style="position:absolute;margin-left:519.65pt;margin-top:820.5pt;width:10.55pt;height:7.2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" filled="f" stroked="f">
              <v:textbox style="mso-fit-shape-to-text:t" inset="0,0,0,0">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2E7828" w:rsidRPr="002E7828">
                      <w:rPr>
                        <w:rStyle w:val="Headerorfooter2"/>
                        <w:rFonts w:ascii="Calibri" w:eastAsia="Calibri" w:hAnsi="Calibri" w:cs="Calibri"/>
                        <w:noProof/>
                        <w:sz w:val="22"/>
                        <w:szCs w:val="22"/>
                      </w:rPr>
                      <w:t>2</w:t>
                    </w:r>
                    <w:r>
                      <w:rPr>
                        <w:rStyle w:val="Headerorfooter2"/>
                        <w:rFonts w:ascii="Calibri" w:eastAsia="Calibri" w:hAnsi="Calibri" w:cs="Calibri"/>
                        <w:sz w:val="22"/>
                        <w:szCs w:val="22"/>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74624" behindDoc="1" locked="0" layoutInCell="1" allowOverlap="1" wp14:anchorId="0F41DA59" wp14:editId="6C624CAA">
              <wp:simplePos x="0" y="0"/>
              <wp:positionH relativeFrom="page">
                <wp:posOffset>6599555</wp:posOffset>
              </wp:positionH>
              <wp:positionV relativeFrom="page">
                <wp:posOffset>10420350</wp:posOffset>
              </wp:positionV>
              <wp:extent cx="133985" cy="91440"/>
              <wp:effectExtent l="0" t="0" r="0" b="0"/>
              <wp:wrapNone/>
              <wp:docPr id="176" name="Форма 176"/>
              <wp:cNvGraphicFramePr/>
              <a:graphic xmlns:a="http://schemas.openxmlformats.org/drawingml/2006/main">
                <a:graphicData uri="http://schemas.microsoft.com/office/word/2010/wordprocessingShape">
                  <wps:wsp>
                    <wps:cNvSpPr txBox="1"/>
                    <wps:spPr>
                      <a:xfrm>
                        <a:off x="0" y="0"/>
                        <a:ext cx="133985" cy="91440"/>
                      </a:xfrm>
                      <a:prstGeom prst="rect">
                        <a:avLst/>
                      </a:prstGeom>
                      <a:noFill/>
                    </wps:spPr>
                    <wps:txbx>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195B01">
                            <w:rPr>
                              <w:rStyle w:val="Headerorfooter2"/>
                              <w:rFonts w:ascii="Calibri" w:eastAsia="Calibri" w:hAnsi="Calibri" w:cs="Calibri"/>
                              <w:noProof/>
                              <w:sz w:val="22"/>
                              <w:szCs w:val="22"/>
                            </w:rPr>
                            <w:t>76</w:t>
                          </w:r>
                          <w:r>
                            <w:rPr>
                              <w:rStyle w:val="Headerorfooter2"/>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0F41DA59" id="_x0000_t202" coordsize="21600,21600" o:spt="202" path="m,l,21600r21600,l21600,xe">
              <v:stroke joinstyle="miter"/>
              <v:path gradientshapeok="t" o:connecttype="rect"/>
            </v:shapetype>
            <v:shape id="Форма 176" o:spid="_x0000_s1032" type="#_x0000_t202" style="position:absolute;margin-left:519.65pt;margin-top:820.5pt;width:10.55pt;height:7.2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" filled="f" stroked="f">
              <v:textbox style="mso-fit-shape-to-text:t" inset="0,0,0,0">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195B01">
                      <w:rPr>
                        <w:rStyle w:val="Headerorfooter2"/>
                        <w:rFonts w:ascii="Calibri" w:eastAsia="Calibri" w:hAnsi="Calibri" w:cs="Calibri"/>
                        <w:noProof/>
                        <w:sz w:val="22"/>
                        <w:szCs w:val="22"/>
                      </w:rPr>
                      <w:t>76</w:t>
                    </w:r>
                    <w:r>
                      <w:rPr>
                        <w:rStyle w:val="Headerorfooter2"/>
                        <w:rFonts w:ascii="Calibri" w:eastAsia="Calibri" w:hAnsi="Calibri" w:cs="Calibri"/>
                        <w:sz w:val="22"/>
                        <w:szCs w:val="22"/>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73600" behindDoc="1" locked="0" layoutInCell="1" allowOverlap="1" wp14:anchorId="122408C7" wp14:editId="0B7166E1">
              <wp:simplePos x="0" y="0"/>
              <wp:positionH relativeFrom="page">
                <wp:posOffset>6599555</wp:posOffset>
              </wp:positionH>
              <wp:positionV relativeFrom="page">
                <wp:posOffset>10420350</wp:posOffset>
              </wp:positionV>
              <wp:extent cx="133985" cy="91440"/>
              <wp:effectExtent l="0" t="0" r="0" b="0"/>
              <wp:wrapNone/>
              <wp:docPr id="174" name="Форма 174"/>
              <wp:cNvGraphicFramePr/>
              <a:graphic xmlns:a="http://schemas.openxmlformats.org/drawingml/2006/main">
                <a:graphicData uri="http://schemas.microsoft.com/office/word/2010/wordprocessingShape">
                  <wps:wsp>
                    <wps:cNvSpPr txBox="1"/>
                    <wps:spPr>
                      <a:xfrm>
                        <a:off x="0" y="0"/>
                        <a:ext cx="133985" cy="91440"/>
                      </a:xfrm>
                      <a:prstGeom prst="rect">
                        <a:avLst/>
                      </a:prstGeom>
                      <a:noFill/>
                    </wps:spPr>
                    <wps:txbx>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2E7828" w:rsidRPr="002E7828">
                            <w:rPr>
                              <w:rStyle w:val="Headerorfooter2"/>
                              <w:rFonts w:ascii="Calibri" w:eastAsia="Calibri" w:hAnsi="Calibri" w:cs="Calibri"/>
                              <w:noProof/>
                              <w:sz w:val="22"/>
                              <w:szCs w:val="22"/>
                            </w:rPr>
                            <w:t>78</w:t>
                          </w:r>
                          <w:r>
                            <w:rPr>
                              <w:rStyle w:val="Headerorfooter2"/>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122408C7" id="_x0000_t202" coordsize="21600,21600" o:spt="202" path="m,l,21600r21600,l21600,xe">
              <v:stroke joinstyle="miter"/>
              <v:path gradientshapeok="t" o:connecttype="rect"/>
            </v:shapetype>
            <v:shape id="Форма 174" o:spid="_x0000_s1033" type="#_x0000_t202" style="position:absolute;margin-left:519.65pt;margin-top:820.5pt;width:10.55pt;height:7.2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" filled="f" stroked="f">
              <v:textbox style="mso-fit-shape-to-text:t" inset="0,0,0,0">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002E7828" w:rsidRPr="002E7828">
                      <w:rPr>
                        <w:rStyle w:val="Headerorfooter2"/>
                        <w:rFonts w:ascii="Calibri" w:eastAsia="Calibri" w:hAnsi="Calibri" w:cs="Calibri"/>
                        <w:noProof/>
                        <w:sz w:val="22"/>
                        <w:szCs w:val="22"/>
                      </w:rPr>
                      <w:t>78</w:t>
                    </w:r>
                    <w:r>
                      <w:rPr>
                        <w:rStyle w:val="Headerorfooter2"/>
                        <w:rFonts w:ascii="Calibri" w:eastAsia="Calibri" w:hAnsi="Calibri" w:cs="Calibri"/>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76672" behindDoc="1" locked="0" layoutInCell="1" allowOverlap="1" wp14:anchorId="18847C24" wp14:editId="2D9B1F9C">
              <wp:simplePos x="0" y="0"/>
              <wp:positionH relativeFrom="page">
                <wp:posOffset>9752965</wp:posOffset>
              </wp:positionH>
              <wp:positionV relativeFrom="page">
                <wp:posOffset>7124065</wp:posOffset>
              </wp:positionV>
              <wp:extent cx="128270" cy="88265"/>
              <wp:effectExtent l="0" t="0" r="0" b="0"/>
              <wp:wrapNone/>
              <wp:docPr id="191" name="Форма 191"/>
              <wp:cNvGraphicFramePr/>
              <a:graphic xmlns:a="http://schemas.openxmlformats.org/drawingml/2006/main">
                <a:graphicData uri="http://schemas.microsoft.com/office/word/2010/wordprocessingShape">
                  <wps:wsp>
                    <wps:cNvSpPr txBox="1"/>
                    <wps:spPr>
                      <a:xfrm>
                        <a:off x="0" y="0"/>
                        <a:ext cx="128270" cy="88265"/>
                      </a:xfrm>
                      <a:prstGeom prst="rect">
                        <a:avLst/>
                      </a:prstGeom>
                      <a:noFill/>
                    </wps:spPr>
                    <wps:txbx>
                      <w:txbxContent>
                        <w:p w:rsidR="001A38FE" w:rsidRDefault="001A38FE">
                          <w:pPr>
                            <w:pStyle w:val="Headerorfooter10"/>
                            <w:jc w:val="left"/>
                          </w:pPr>
                          <w:r>
                            <w:fldChar w:fldCharType="begin"/>
                          </w:r>
                          <w:r>
                            <w:instrText xml:space="preserve"> PAGE \* MERGEFORMAT </w:instrText>
                          </w:r>
                          <w:r>
                            <w:fldChar w:fldCharType="separate"/>
                          </w:r>
                          <w:r w:rsidRPr="00195B01">
                            <w:rPr>
                              <w:rStyle w:val="Headerorfooter1"/>
                              <w:noProof/>
                            </w:rPr>
                            <w:t>80</w:t>
                          </w:r>
                          <w:r>
                            <w:rPr>
                              <w:rStyle w:val="Headerorfooter1"/>
                            </w:rPr>
                            <w:fldChar w:fldCharType="end"/>
                          </w:r>
                        </w:p>
                      </w:txbxContent>
                    </wps:txbx>
                    <wps:bodyPr wrap="none" lIns="0" tIns="0" rIns="0" bIns="0">
                      <a:spAutoFit/>
                    </wps:bodyPr>
                  </wps:wsp>
                </a:graphicData>
              </a:graphic>
            </wp:anchor>
          </w:drawing>
        </mc:Choice>
        <mc:Fallback>
          <w:pict>
            <v:shapetype w14:anchorId="18847C24" id="_x0000_t202" coordsize="21600,21600" o:spt="202" path="m,l,21600r21600,l21600,xe">
              <v:stroke joinstyle="miter"/>
              <v:path gradientshapeok="t" o:connecttype="rect"/>
            </v:shapetype>
            <v:shape id="Форма 191" o:spid="_x0000_s1034" type="#_x0000_t202" style="position:absolute;margin-left:767.95pt;margin-top:560.95pt;width:10.1pt;height:6.95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" filled="f" stroked="f">
              <v:textbox style="mso-fit-shape-to-text:t" inset="0,0,0,0">
                <w:txbxContent>
                  <w:p w:rsidR="001A38FE" w:rsidRDefault="001A38FE">
                    <w:pPr>
                      <w:pStyle w:val="Headerorfooter10"/>
                      <w:jc w:val="left"/>
                    </w:pPr>
                    <w:r>
                      <w:fldChar w:fldCharType="begin"/>
                    </w:r>
                    <w:r>
                      <w:instrText xml:space="preserve"> PAGE \* MERGEFORMAT </w:instrText>
                    </w:r>
                    <w:r>
                      <w:fldChar w:fldCharType="separate"/>
                    </w:r>
                    <w:r w:rsidRPr="00195B01">
                      <w:rPr>
                        <w:rStyle w:val="Headerorfooter1"/>
                        <w:noProof/>
                      </w:rPr>
                      <w:t>80</w:t>
                    </w:r>
                    <w:r>
                      <w:rPr>
                        <w:rStyle w:val="Headerorfooter1"/>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9159272"/>
      <w:docPartObj>
        <w:docPartGallery w:val="Page Numbers (Bottom of Page)"/>
        <w:docPartUnique/>
      </w:docPartObj>
    </w:sdtPr>
    <w:sdtEndPr>
      <w:rPr>
        <w:noProof/>
      </w:rPr>
    </w:sdtEndPr>
    <w:sdtContent>
      <w:p w:rsidR="001A38FE" w:rsidRDefault="001A38FE">
        <w:pPr>
          <w:pStyle w:val="Footer"/>
          <w:jc w:val="right"/>
        </w:pPr>
        <w:r>
          <w:fldChar w:fldCharType="begin"/>
        </w:r>
        <w:r>
          <w:instrText xml:space="preserve"> PAGE   \* MERGEFORMAT </w:instrText>
        </w:r>
        <w:r>
          <w:fldChar w:fldCharType="separate"/>
        </w:r>
        <w:r w:rsidR="002E7828">
          <w:rPr>
            <w:noProof/>
          </w:rPr>
          <w:t>83</w:t>
        </w:r>
        <w:r>
          <w:rPr>
            <w:noProof/>
          </w:rPr>
          <w:fldChar w:fldCharType="end"/>
        </w:r>
      </w:p>
    </w:sdtContent>
  </w:sdt>
  <w:p w:rsidR="001A38FE" w:rsidRDefault="001A38FE">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38FE" w:rsidRDefault="001A38FE">
    <w:pPr>
      <w:spacing w:line="1" w:lineRule="exact"/>
    </w:pPr>
    <w:r>
      <w:rPr>
        <w:noProof/>
        <w:lang w:val="bg-BG" w:eastAsia="bg-BG"/>
      </w:rPr>
      <mc:AlternateContent>
        <mc:Choice Requires="wps">
          <w:drawing>
            <wp:anchor distT="0" distB="0" distL="0" distR="0" simplePos="0" relativeHeight="251691008" behindDoc="1" locked="0" layoutInCell="1" allowOverlap="1" wp14:anchorId="60FAC241" wp14:editId="0EFB30B3">
              <wp:simplePos x="0" y="0"/>
              <wp:positionH relativeFrom="page">
                <wp:posOffset>6599555</wp:posOffset>
              </wp:positionH>
              <wp:positionV relativeFrom="page">
                <wp:posOffset>10420350</wp:posOffset>
              </wp:positionV>
              <wp:extent cx="133985" cy="91440"/>
              <wp:effectExtent l="0" t="0" r="0" b="0"/>
              <wp:wrapNone/>
              <wp:docPr id="249" name="Форма 249"/>
              <wp:cNvGraphicFramePr/>
              <a:graphic xmlns:a="http://schemas.openxmlformats.org/drawingml/2006/main">
                <a:graphicData uri="http://schemas.microsoft.com/office/word/2010/wordprocessingShape">
                  <wps:wsp>
                    <wps:cNvSpPr txBox="1"/>
                    <wps:spPr>
                      <a:xfrm>
                        <a:off x="0" y="0"/>
                        <a:ext cx="133985" cy="91440"/>
                      </a:xfrm>
                      <a:prstGeom prst="rect">
                        <a:avLst/>
                      </a:prstGeom>
                      <a:noFill/>
                    </wps:spPr>
                    <wps:txbx>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AE1ED0">
                            <w:rPr>
                              <w:rStyle w:val="Headerorfooter2"/>
                              <w:rFonts w:ascii="Calibri" w:eastAsia="Calibri" w:hAnsi="Calibri" w:cs="Calibri"/>
                              <w:noProof/>
                              <w:sz w:val="22"/>
                              <w:szCs w:val="22"/>
                            </w:rPr>
                            <w:t>110</w:t>
                          </w:r>
                          <w:r>
                            <w:rPr>
                              <w:rStyle w:val="Headerorfooter2"/>
                              <w:rFonts w:ascii="Calibri" w:eastAsia="Calibri" w:hAnsi="Calibri" w:cs="Calibri"/>
                              <w:sz w:val="22"/>
                              <w:szCs w:val="22"/>
                            </w:rPr>
                            <w:fldChar w:fldCharType="end"/>
                          </w:r>
                        </w:p>
                      </w:txbxContent>
                    </wps:txbx>
                    <wps:bodyPr wrap="none" lIns="0" tIns="0" rIns="0" bIns="0">
                      <a:spAutoFit/>
                    </wps:bodyPr>
                  </wps:wsp>
                </a:graphicData>
              </a:graphic>
            </wp:anchor>
          </w:drawing>
        </mc:Choice>
        <mc:Fallback>
          <w:pict>
            <v:shapetype w14:anchorId="60FAC241" id="_x0000_t202" coordsize="21600,21600" o:spt="202" path="m,l,21600r21600,l21600,xe">
              <v:stroke joinstyle="miter"/>
              <v:path gradientshapeok="t" o:connecttype="rect"/>
            </v:shapetype>
            <v:shape id="Форма 249" o:spid="_x0000_s1035" type="#_x0000_t202" style="position:absolute;margin-left:519.65pt;margin-top:820.5pt;width:10.55pt;height:7.2pt;z-index:-25162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" filled="f" stroked="f">
              <v:textbox style="mso-fit-shape-to-text:t" inset="0,0,0,0">
                <w:txbxContent>
                  <w:p w:rsidR="001A38FE" w:rsidRDefault="001A38FE">
                    <w:pPr>
                      <w:pStyle w:val="Headerorfooter20"/>
                      <w:rPr>
                        <w:sz w:val="22"/>
                        <w:szCs w:val="22"/>
                      </w:rPr>
                    </w:pPr>
                    <w:r>
                      <w:rPr>
                        <w:rFonts w:ascii="Times New Roman" w:eastAsia="Times New Roman" w:hAnsi="Times New Roman" w:cs="Times New Roman"/>
                      </w:rPr>
                      <w:fldChar w:fldCharType="begin"/>
                    </w:r>
                    <w:r>
                      <w:instrText xml:space="preserve"> PAGE \* MERGEFORMAT </w:instrText>
                    </w:r>
                    <w:r>
                      <w:rPr>
                        <w:rFonts w:ascii="Times New Roman" w:eastAsia="Times New Roman" w:hAnsi="Times New Roman" w:cs="Times New Roman"/>
                      </w:rPr>
                      <w:fldChar w:fldCharType="separate"/>
                    </w:r>
                    <w:r w:rsidRPr="00AE1ED0">
                      <w:rPr>
                        <w:rStyle w:val="Headerorfooter2"/>
                        <w:rFonts w:ascii="Calibri" w:eastAsia="Calibri" w:hAnsi="Calibri" w:cs="Calibri"/>
                        <w:noProof/>
                        <w:sz w:val="22"/>
                        <w:szCs w:val="22"/>
                      </w:rPr>
                      <w:t>110</w:t>
                    </w:r>
                    <w:r>
                      <w:rPr>
                        <w:rStyle w:val="Headerorfooter2"/>
                        <w:rFonts w:ascii="Calibri" w:eastAsia="Calibri" w:hAnsi="Calibri" w:cs="Calibri"/>
                        <w:sz w:val="22"/>
                        <w:szCs w:val="22"/>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7EA3" w:rsidRDefault="00567EA3" w:rsidP="007906A8">
      <w:pPr>
        <w:spacing w:after="0" w:line="240" w:lineRule="auto"/>
      </w:pPr>
      <w:r>
        <w:separator/>
      </w:r>
    </w:p>
  </w:footnote>
  <w:footnote w:type="continuationSeparator" w:id="0">
    <w:p w:rsidR="00567EA3" w:rsidRDefault="00567EA3" w:rsidP="007906A8">
      <w:pPr>
        <w:spacing w:after="0" w:line="240" w:lineRule="auto"/>
      </w:pPr>
      <w:r>
        <w:continuationSeparator/>
      </w:r>
    </w:p>
  </w:footnote>
  <w:footnote w:id="1">
    <w:p w:rsidR="001A38FE" w:rsidRDefault="001A38FE" w:rsidP="007906A8">
      <w:pPr>
        <w:pStyle w:val="Footnote10"/>
        <w:jc w:val="both"/>
      </w:pPr>
      <w:bookmarkStart w:id="14" w:name="bookmark0"/>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 xml:space="preserve">Център за изследване на демокрацията (ЦИД). (2023). ВЕИ на бързи обороти: Анализ на предизвикателствата и възможностите за ускорено навлизане на възобновяеми енергийни източници в България / Бързо проследяване на ВЕИ: Премахване на пречките пред децентрализацията и демократизацията на енергийния преход в България, </w:t>
      </w:r>
      <w:hyperlink r:id="rId1" w:history="1">
        <w:r>
          <w:rPr>
            <w:rStyle w:val="Footnote1"/>
            <w:u w:val="single"/>
          </w:rPr>
          <w:t>https://csd.eu/events/event/fast-tracking-res-removing-barriers-to-decentralization-and-democratization-of-the-energy-</w:t>
        </w:r>
      </w:hyperlink>
      <w:r>
        <w:rPr>
          <w:rStyle w:val="Footnote1"/>
          <w:u w:val="single"/>
        </w:rPr>
        <w:t xml:space="preserve"> </w:t>
      </w:r>
      <w:hyperlink r:id="rId2" w:history="1">
        <w:r>
          <w:rPr>
            <w:rStyle w:val="Footnote1"/>
            <w:u w:val="single"/>
          </w:rPr>
          <w:t>transitio/</w:t>
        </w:r>
        <w:bookmarkEnd w:id="14"/>
      </w:hyperlink>
    </w:p>
  </w:footnote>
  <w:footnote w:id="2">
    <w:p w:rsidR="001A38FE" w:rsidRDefault="001A38FE" w:rsidP="007906A8">
      <w:pPr>
        <w:pStyle w:val="Footnote10"/>
      </w:pPr>
      <w:r>
        <w:rPr>
          <w:rStyle w:val="Footnote1"/>
          <w:rFonts w:ascii="Arial" w:eastAsia="Arial" w:hAnsi="Arial" w:cs="Arial"/>
          <w:sz w:val="10"/>
          <w:szCs w:val="10"/>
        </w:rPr>
        <w:footnoteRef/>
      </w:r>
      <w:hyperlink r:id="rId3" w:history="1">
        <w:r>
          <w:rPr>
            <w:rStyle w:val="Footnote1"/>
            <w:rFonts w:ascii="Arial" w:eastAsia="Arial" w:hAnsi="Arial" w:cs="Arial"/>
            <w:sz w:val="10"/>
            <w:szCs w:val="10"/>
          </w:rPr>
          <w:t xml:space="preserve"> </w:t>
        </w:r>
        <w:r>
          <w:rPr>
            <w:rStyle w:val="Footnote1"/>
            <w:u w:val="single"/>
          </w:rPr>
          <w:t>Пътна карта за политика и правна рамка за енергийните общности</w:t>
        </w:r>
        <w:r>
          <w:rPr>
            <w:rStyle w:val="Footnote1"/>
          </w:rPr>
          <w:t xml:space="preserve"> </w:t>
        </w:r>
      </w:hyperlink>
      <w:r>
        <w:rPr>
          <w:rStyle w:val="Footnote1"/>
        </w:rPr>
        <w:t>(2024 г.), Генерална дирекция „Енергетика“, Хранилище на Енергийната общност.</w:t>
      </w:r>
    </w:p>
  </w:footnote>
  <w:footnote w:id="3">
    <w:p w:rsidR="001A38FE" w:rsidRDefault="001A38FE" w:rsidP="007906A8">
      <w:pPr>
        <w:pStyle w:val="Footnote10"/>
        <w:jc w:val="both"/>
      </w:pPr>
      <w:bookmarkStart w:id="18" w:name="bookmark2"/>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REDII,</w:t>
      </w:r>
      <w:hyperlink r:id="rId4" w:history="1">
        <w:r>
          <w:rPr>
            <w:rStyle w:val="Footnote1"/>
          </w:rPr>
          <w:t xml:space="preserve"> </w:t>
        </w:r>
        <w:r>
          <w:rPr>
            <w:rStyle w:val="Footnote1"/>
            <w:u w:val="single"/>
          </w:rPr>
          <w:t>Директива (ЕС) 2018/2001 на Европейския парламент и на Съвета от 11 декември 2018 г. за насърчаване използването</w:t>
        </w:r>
      </w:hyperlink>
      <w:r>
        <w:rPr>
          <w:rStyle w:val="Footnote1"/>
          <w:u w:val="single"/>
        </w:rPr>
        <w:t xml:space="preserve"> </w:t>
      </w:r>
      <w:hyperlink r:id="rId5" w:history="1">
        <w:r>
          <w:rPr>
            <w:rStyle w:val="Footnote1"/>
            <w:u w:val="single"/>
          </w:rPr>
          <w:t>на енергия от възобновяеми източници</w:t>
        </w:r>
        <w:r>
          <w:rPr>
            <w:rStyle w:val="Footnote1"/>
          </w:rPr>
          <w:t xml:space="preserve"> </w:t>
        </w:r>
      </w:hyperlink>
      <w:r>
        <w:rPr>
          <w:rStyle w:val="Footnote1"/>
        </w:rPr>
        <w:t>(преработен текст)</w:t>
      </w:r>
      <w:bookmarkEnd w:id="18"/>
    </w:p>
  </w:footnote>
  <w:footnote w:id="4">
    <w:p w:rsidR="001A38FE" w:rsidRDefault="001A38FE" w:rsidP="007906A8">
      <w:pPr>
        <w:pStyle w:val="Footnote10"/>
      </w:pPr>
      <w:bookmarkStart w:id="19" w:name="bookmark3"/>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Директива (ЕС)</w:t>
      </w:r>
      <w:hyperlink r:id="rId6" w:history="1">
        <w:r>
          <w:rPr>
            <w:rStyle w:val="Footnote1"/>
          </w:rPr>
          <w:t xml:space="preserve"> </w:t>
        </w:r>
        <w:r>
          <w:rPr>
            <w:rStyle w:val="Footnote1"/>
            <w:u w:val="single"/>
          </w:rPr>
          <w:t>2019/944 на Европейския парламент и на Съвета от 5 юни 2019 г. относно общите правила за</w:t>
        </w:r>
      </w:hyperlink>
      <w:r>
        <w:rPr>
          <w:rStyle w:val="Footnote1"/>
          <w:u w:val="single"/>
        </w:rPr>
        <w:t xml:space="preserve"> </w:t>
      </w:r>
      <w:hyperlink r:id="rId7" w:history="1">
        <w:r>
          <w:rPr>
            <w:rStyle w:val="Footnote1"/>
            <w:u w:val="single"/>
          </w:rPr>
          <w:t>вътрешния пазар на електроенергия и за изменение на Директива 2012/27/ЕС</w:t>
        </w:r>
        <w:r>
          <w:rPr>
            <w:rStyle w:val="Footnote1"/>
          </w:rPr>
          <w:t xml:space="preserve"> </w:t>
        </w:r>
      </w:hyperlink>
      <w:r>
        <w:rPr>
          <w:rStyle w:val="Footnote1"/>
        </w:rPr>
        <w:t>(преработен текст)</w:t>
      </w:r>
      <w:bookmarkEnd w:id="19"/>
    </w:p>
  </w:footnote>
  <w:footnote w:id="5">
    <w:p w:rsidR="001A38FE" w:rsidRPr="008F5002" w:rsidRDefault="001A38FE" w:rsidP="007906A8">
      <w:pPr>
        <w:pStyle w:val="Footnote10"/>
        <w:spacing w:line="259" w:lineRule="auto"/>
        <w:rPr>
          <w:sz w:val="12"/>
          <w:szCs w:val="12"/>
        </w:rPr>
      </w:pPr>
      <w:bookmarkStart w:id="20" w:name="bookmark4"/>
      <w:r>
        <w:rPr>
          <w:rStyle w:val="Footnote1"/>
          <w:rFonts w:ascii="Arial" w:eastAsia="Arial" w:hAnsi="Arial" w:cs="Arial"/>
          <w:sz w:val="10"/>
          <w:szCs w:val="10"/>
        </w:rPr>
        <w:footnoteRef/>
      </w:r>
      <w:hyperlink r:id="rId8" w:history="1">
        <w:r w:rsidRPr="008F5002">
          <w:rPr>
            <w:rStyle w:val="Footnote1"/>
            <w:rFonts w:ascii="Arial" w:eastAsia="Arial" w:hAnsi="Arial" w:cs="Arial"/>
            <w:sz w:val="12"/>
            <w:szCs w:val="12"/>
          </w:rPr>
          <w:t xml:space="preserve"> </w:t>
        </w:r>
        <w:r w:rsidRPr="008F5002">
          <w:rPr>
            <w:rStyle w:val="Footnote1"/>
            <w:sz w:val="12"/>
            <w:szCs w:val="12"/>
            <w:u w:val="single"/>
          </w:rPr>
          <w:t>Енергийни общности</w:t>
        </w:r>
        <w:r w:rsidRPr="008F5002">
          <w:rPr>
            <w:rStyle w:val="Footnote1"/>
            <w:sz w:val="12"/>
            <w:szCs w:val="12"/>
          </w:rPr>
          <w:t xml:space="preserve">(2023 </w:t>
        </w:r>
      </w:hyperlink>
      <w:r w:rsidRPr="008F5002">
        <w:rPr>
          <w:sz w:val="12"/>
          <w:szCs w:val="12"/>
        </w:rPr>
        <w:t>г.), Nordic Energy Research</w:t>
      </w:r>
      <w:bookmarkEnd w:id="20"/>
    </w:p>
  </w:footnote>
  <w:footnote w:id="6">
    <w:p w:rsidR="001A38FE" w:rsidRDefault="00567EA3" w:rsidP="007906A8">
      <w:pPr>
        <w:pStyle w:val="Footnote10"/>
        <w:spacing w:line="259" w:lineRule="auto"/>
        <w:jc w:val="both"/>
      </w:pPr>
      <w:hyperlink r:id="rId9" w:history="1">
        <w:bookmarkStart w:id="21" w:name="bookmark5"/>
        <w:r w:rsidR="001A38FE" w:rsidRPr="008F5002">
          <w:rPr>
            <w:rStyle w:val="Footnote1"/>
            <w:rFonts w:ascii="Arial" w:eastAsia="Arial" w:hAnsi="Arial" w:cs="Arial"/>
            <w:sz w:val="12"/>
            <w:szCs w:val="12"/>
            <w:vertAlign w:val="superscript"/>
          </w:rPr>
          <w:footnoteRef/>
        </w:r>
        <w:r w:rsidR="001A38FE" w:rsidRPr="008F5002">
          <w:rPr>
            <w:rStyle w:val="Footnote1"/>
            <w:sz w:val="12"/>
            <w:szCs w:val="12"/>
            <w:u w:val="single"/>
          </w:rPr>
          <w:t>Пречки и движещи сили на действията за развитието на различни дейности от общностите за енергия от възобновяеми източници и гражданските енергийни общности</w:t>
        </w:r>
        <w:r w:rsidR="001A38FE" w:rsidRPr="008F5002">
          <w:rPr>
            <w:rStyle w:val="Footnote1"/>
            <w:sz w:val="12"/>
            <w:szCs w:val="12"/>
          </w:rPr>
          <w:t xml:space="preserve"> </w:t>
        </w:r>
      </w:hyperlink>
      <w:r w:rsidR="001A38FE" w:rsidRPr="008F5002">
        <w:rPr>
          <w:rStyle w:val="Footnote1"/>
          <w:sz w:val="12"/>
          <w:szCs w:val="12"/>
        </w:rPr>
        <w:t>(2024 г.): Генерална дирекция „Енергетика“, Хранилище на Енергийната общност</w:t>
      </w:r>
      <w:r w:rsidR="001A38FE">
        <w:rPr>
          <w:rStyle w:val="Footnote1"/>
        </w:rPr>
        <w:t>.</w:t>
      </w:r>
      <w:bookmarkEnd w:id="21"/>
    </w:p>
  </w:footnote>
  <w:footnote w:id="7">
    <w:p w:rsidR="001A38FE" w:rsidRDefault="001A38FE" w:rsidP="007906A8">
      <w:pPr>
        <w:pStyle w:val="Footnote10"/>
        <w:spacing w:line="276" w:lineRule="auto"/>
      </w:pPr>
      <w:r>
        <w:rPr>
          <w:rStyle w:val="Footnote1"/>
          <w:rFonts w:ascii="Arial" w:eastAsia="Arial" w:hAnsi="Arial" w:cs="Arial"/>
          <w:sz w:val="10"/>
          <w:szCs w:val="10"/>
        </w:rPr>
        <w:footnoteRef/>
      </w:r>
      <w:hyperlink r:id="rId10" w:history="1">
        <w:r>
          <w:rPr>
            <w:rStyle w:val="Footnote1"/>
            <w:rFonts w:ascii="Arial" w:eastAsia="Arial" w:hAnsi="Arial" w:cs="Arial"/>
            <w:sz w:val="10"/>
            <w:szCs w:val="10"/>
          </w:rPr>
          <w:t xml:space="preserve"> </w:t>
        </w:r>
        <w:r>
          <w:rPr>
            <w:rStyle w:val="Footnote1"/>
            <w:u w:val="single"/>
          </w:rPr>
          <w:t>https://wayback.archive-it.org/12090/20240807073925/https://energy-communities-repository.ec.europa.eu/energy-</w:t>
        </w:r>
      </w:hyperlink>
      <w:r>
        <w:rPr>
          <w:rStyle w:val="Footnote1"/>
          <w:u w:val="single"/>
        </w:rPr>
        <w:t xml:space="preserve"> </w:t>
      </w:r>
      <w:hyperlink r:id="rId11" w:history="1">
        <w:r>
          <w:rPr>
            <w:rStyle w:val="Footnote1"/>
            <w:u w:val="single"/>
          </w:rPr>
          <w:t>communities-repository-legal-frameworks/energy-communities-repository-policy-database_en</w:t>
        </w:r>
      </w:hyperlink>
    </w:p>
  </w:footnote>
  <w:footnote w:id="8">
    <w:p w:rsidR="001A38FE" w:rsidRDefault="001A38FE" w:rsidP="007906A8">
      <w:pPr>
        <w:pStyle w:val="Footnote10"/>
        <w:jc w:val="both"/>
      </w:pPr>
      <w:bookmarkStart w:id="70" w:name="bookmark14"/>
      <w:r>
        <w:rPr>
          <w:rStyle w:val="Footnote1"/>
          <w:rFonts w:ascii="Arial" w:eastAsia="Arial" w:hAnsi="Arial" w:cs="Arial"/>
          <w:sz w:val="10"/>
          <w:szCs w:val="10"/>
        </w:rPr>
        <w:footnoteRef/>
      </w:r>
      <w:hyperlink r:id="rId12" w:history="1">
        <w:r>
          <w:rPr>
            <w:rStyle w:val="Footnote1"/>
            <w:rFonts w:ascii="Arial" w:eastAsia="Arial" w:hAnsi="Arial" w:cs="Arial"/>
            <w:sz w:val="10"/>
            <w:szCs w:val="10"/>
          </w:rPr>
          <w:t xml:space="preserve"> </w:t>
        </w:r>
        <w:r>
          <w:rPr>
            <w:rStyle w:val="Footnote1"/>
            <w:u w:val="single"/>
          </w:rPr>
          <w:t>Energiloven</w:t>
        </w:r>
        <w:r>
          <w:rPr>
            <w:rStyle w:val="Footnote1"/>
          </w:rPr>
          <w:t xml:space="preserve"> </w:t>
        </w:r>
      </w:hyperlink>
      <w:r>
        <w:rPr>
          <w:rStyle w:val="Footnote1"/>
        </w:rPr>
        <w:t>(1990), Lov om produksjon, omforming, overføring, omsetning, fordeling og bruk av energi m.m.</w:t>
      </w:r>
      <w:bookmarkEnd w:id="70"/>
    </w:p>
  </w:footnote>
  <w:footnote w:id="9">
    <w:p w:rsidR="001A38FE" w:rsidRDefault="001A38FE" w:rsidP="007906A8">
      <w:pPr>
        <w:pStyle w:val="Footnote10"/>
        <w:jc w:val="both"/>
      </w:pPr>
      <w:r>
        <w:rPr>
          <w:rStyle w:val="Footnote1"/>
          <w:rFonts w:ascii="Arial" w:eastAsia="Arial" w:hAnsi="Arial" w:cs="Arial"/>
          <w:sz w:val="10"/>
          <w:szCs w:val="10"/>
        </w:rPr>
        <w:footnoteRef/>
      </w:r>
      <w:hyperlink r:id="rId13" w:history="1">
        <w:r>
          <w:rPr>
            <w:rStyle w:val="Footnote1"/>
            <w:rFonts w:ascii="Arial" w:eastAsia="Arial" w:hAnsi="Arial" w:cs="Arial"/>
            <w:sz w:val="10"/>
            <w:szCs w:val="10"/>
          </w:rPr>
          <w:t xml:space="preserve"> </w:t>
        </w:r>
        <w:r>
          <w:rPr>
            <w:rStyle w:val="Footnote1"/>
            <w:u w:val="single"/>
          </w:rPr>
          <w:t>Energilovforskriften</w:t>
        </w:r>
        <w:r>
          <w:rPr>
            <w:rStyle w:val="Footnote1"/>
          </w:rPr>
          <w:t xml:space="preserve"> </w:t>
        </w:r>
      </w:hyperlink>
      <w:r>
        <w:rPr>
          <w:rStyle w:val="Footnote1"/>
        </w:rPr>
        <w:t>(1990), Forskrift om produksjon, omforming, overføring, omsetning, fordeling og bruk av energi m.m.</w:t>
      </w:r>
    </w:p>
  </w:footnote>
  <w:footnote w:id="10">
    <w:p w:rsidR="001A38FE" w:rsidRDefault="001A38FE" w:rsidP="007906A8">
      <w:pPr>
        <w:pStyle w:val="Footnote10"/>
      </w:pPr>
      <w:bookmarkStart w:id="71" w:name="bookmark16"/>
      <w:r>
        <w:rPr>
          <w:rStyle w:val="Footnote1"/>
          <w:rFonts w:ascii="Arial" w:eastAsia="Arial" w:hAnsi="Arial" w:cs="Arial"/>
          <w:sz w:val="10"/>
          <w:szCs w:val="10"/>
        </w:rPr>
        <w:footnoteRef/>
      </w:r>
      <w:hyperlink r:id="rId14" w:history="1">
        <w:r>
          <w:rPr>
            <w:rStyle w:val="Footnote1"/>
            <w:rFonts w:ascii="Arial" w:eastAsia="Arial" w:hAnsi="Arial" w:cs="Arial"/>
            <w:sz w:val="10"/>
            <w:szCs w:val="10"/>
          </w:rPr>
          <w:t xml:space="preserve"> </w:t>
        </w:r>
        <w:r>
          <w:rPr>
            <w:rStyle w:val="Footnote1"/>
            <w:u w:val="single"/>
          </w:rPr>
          <w:t>NEM</w:t>
        </w:r>
        <w:r>
          <w:rPr>
            <w:rStyle w:val="Footnote1"/>
          </w:rPr>
          <w:t xml:space="preserve">(2019 </w:t>
        </w:r>
      </w:hyperlink>
      <w:r>
        <w:t>г.), Forskrift om nettregulering og energimarkedet.</w:t>
      </w:r>
      <w:bookmarkEnd w:id="71"/>
    </w:p>
  </w:footnote>
  <w:footnote w:id="11">
    <w:p w:rsidR="001A38FE" w:rsidRDefault="001A38FE" w:rsidP="007906A8">
      <w:pPr>
        <w:pStyle w:val="Footnote10"/>
      </w:pPr>
      <w:bookmarkStart w:id="72" w:name="bookmark17"/>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NVE, Vedtak – dispensasjonssøknader,</w:t>
      </w:r>
      <w:hyperlink r:id="rId15" w:history="1">
        <w:r>
          <w:rPr>
            <w:rStyle w:val="Footnote1"/>
          </w:rPr>
          <w:t xml:space="preserve"> </w:t>
        </w:r>
        <w:r>
          <w:rPr>
            <w:rStyle w:val="Footnote1"/>
            <w:u w:val="single"/>
          </w:rPr>
          <w:t>https://www.nve.no/reguleringsmyndigheten/bransje/bransjeoppgaver/pilot-og-</w:t>
        </w:r>
      </w:hyperlink>
      <w:r>
        <w:rPr>
          <w:rStyle w:val="Footnote1"/>
          <w:u w:val="single"/>
        </w:rPr>
        <w:t xml:space="preserve"> </w:t>
      </w:r>
      <w:hyperlink r:id="rId16" w:history="1">
        <w:r>
          <w:rPr>
            <w:rStyle w:val="Footnote1"/>
            <w:u w:val="single"/>
          </w:rPr>
          <w:t>demonstrasjonsprosjekter/vedtak-dispensasjonssoeknader/</w:t>
        </w:r>
        <w:bookmarkEnd w:id="72"/>
      </w:hyperlink>
    </w:p>
  </w:footnote>
  <w:footnote w:id="12">
    <w:p w:rsidR="001A38FE" w:rsidRDefault="001A38FE" w:rsidP="007906A8">
      <w:pPr>
        <w:pStyle w:val="Footnote10"/>
      </w:pPr>
      <w:bookmarkStart w:id="76" w:name="bookmark18"/>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1 NOK = 0,083 евро</w:t>
      </w:r>
      <w:bookmarkEnd w:id="76"/>
    </w:p>
  </w:footnote>
  <w:footnote w:id="13">
    <w:p w:rsidR="001A38FE" w:rsidRDefault="001A38FE" w:rsidP="007906A8">
      <w:pPr>
        <w:pStyle w:val="Footnote10"/>
      </w:pPr>
      <w:bookmarkStart w:id="77" w:name="bookmark19"/>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NVE, Prosumenter og plusskunder,</w:t>
      </w:r>
      <w:hyperlink r:id="rId17" w:history="1">
        <w:r>
          <w:rPr>
            <w:rStyle w:val="Footnote1"/>
          </w:rPr>
          <w:t xml:space="preserve"> </w:t>
        </w:r>
        <w:r>
          <w:rPr>
            <w:rStyle w:val="Footnote1"/>
            <w:u w:val="single"/>
          </w:rPr>
          <w:t>https://www.nve.no/reguleringsmyndigheten/kunde/stroemnettet/prosumenter-og-</w:t>
        </w:r>
      </w:hyperlink>
      <w:r>
        <w:rPr>
          <w:rStyle w:val="Footnote1"/>
          <w:u w:val="single"/>
        </w:rPr>
        <w:t xml:space="preserve"> </w:t>
      </w:r>
      <w:hyperlink r:id="rId18" w:history="1">
        <w:r>
          <w:rPr>
            <w:rStyle w:val="Footnote1"/>
            <w:u w:val="single"/>
          </w:rPr>
          <w:t>plusskunder/.</w:t>
        </w:r>
        <w:bookmarkEnd w:id="77"/>
      </w:hyperlink>
    </w:p>
  </w:footnote>
  <w:footnote w:id="14">
    <w:p w:rsidR="001A38FE" w:rsidRDefault="001A38FE" w:rsidP="007906A8">
      <w:pPr>
        <w:pStyle w:val="Footnote10"/>
      </w:pPr>
      <w:bookmarkStart w:id="78" w:name="bookmark20"/>
      <w:r>
        <w:rPr>
          <w:rStyle w:val="Footnote1"/>
          <w:rFonts w:ascii="Arial" w:eastAsia="Arial" w:hAnsi="Arial" w:cs="Arial"/>
          <w:sz w:val="10"/>
          <w:szCs w:val="10"/>
        </w:rPr>
        <w:footnoteRef/>
      </w:r>
      <w:hyperlink r:id="rId19" w:history="1">
        <w:r>
          <w:rPr>
            <w:rStyle w:val="Footnote1"/>
            <w:rFonts w:ascii="Arial" w:eastAsia="Arial" w:hAnsi="Arial" w:cs="Arial"/>
            <w:sz w:val="10"/>
            <w:szCs w:val="10"/>
          </w:rPr>
          <w:t xml:space="preserve"> </w:t>
        </w:r>
        <w:r>
          <w:rPr>
            <w:rStyle w:val="Footnote1"/>
            <w:u w:val="single"/>
          </w:rPr>
          <w:t>https://www.nve.no/reguleringsmyndigheten/publikasjoner-og-data/statistikk/statistikk-over-</w:t>
        </w:r>
      </w:hyperlink>
      <w:r>
        <w:rPr>
          <w:rStyle w:val="Footnote1"/>
          <w:u w:val="single"/>
        </w:rPr>
        <w:t xml:space="preserve"> </w:t>
      </w:r>
      <w:hyperlink r:id="rId20" w:history="1">
        <w:r>
          <w:rPr>
            <w:rStyle w:val="Footnote1"/>
            <w:u w:val="single"/>
          </w:rPr>
          <w:t>sluttbrukermarkedet/plusskundestatistikk/</w:t>
        </w:r>
        <w:bookmarkEnd w:id="78"/>
      </w:hyperlink>
    </w:p>
  </w:footnote>
  <w:footnote w:id="15">
    <w:p w:rsidR="001A38FE" w:rsidRDefault="001A38FE" w:rsidP="007906A8">
      <w:pPr>
        <w:pStyle w:val="Footnote10"/>
      </w:pPr>
      <w:bookmarkStart w:id="79" w:name="bookmark21"/>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НВЕ. Модел за deling av overskuddsproduksjon,</w:t>
      </w:r>
      <w:bookmarkEnd w:id="79"/>
    </w:p>
    <w:p w:rsidR="001A38FE" w:rsidRDefault="00567EA3" w:rsidP="007906A8">
      <w:pPr>
        <w:pStyle w:val="Footnote10"/>
      </w:pPr>
      <w:hyperlink r:id="rId21" w:history="1">
        <w:r w:rsidR="001A38FE">
          <w:rPr>
            <w:rStyle w:val="Footnote1"/>
            <w:u w:val="single"/>
          </w:rPr>
          <w:t>https://www.nve.no/reguleringsmyndigheten/kunde/stroemnettet/prosumenter-og-plusskunder/modell-for-deling-av-</w:t>
        </w:r>
      </w:hyperlink>
      <w:r w:rsidR="001A38FE">
        <w:rPr>
          <w:rStyle w:val="Footnote1"/>
          <w:u w:val="single"/>
        </w:rPr>
        <w:t xml:space="preserve"> </w:t>
      </w:r>
      <w:hyperlink r:id="rId22" w:history="1">
        <w:r w:rsidR="001A38FE">
          <w:rPr>
            <w:rStyle w:val="Footnote1"/>
            <w:u w:val="single"/>
          </w:rPr>
          <w:t>overskuddsproduksjon/</w:t>
        </w:r>
        <w:r w:rsidR="001A38FE">
          <w:rPr>
            <w:rStyle w:val="Footnote1"/>
          </w:rPr>
          <w:t>.</w:t>
        </w:r>
      </w:hyperlink>
    </w:p>
  </w:footnote>
  <w:footnote w:id="16">
    <w:p w:rsidR="001A38FE" w:rsidRDefault="001A38FE" w:rsidP="007906A8">
      <w:pPr>
        <w:pStyle w:val="Footnote10"/>
      </w:pPr>
      <w:bookmarkStart w:id="80" w:name="bookmark22"/>
      <w:r>
        <w:rPr>
          <w:rStyle w:val="Footnote1"/>
          <w:rFonts w:ascii="Arial" w:eastAsia="Arial" w:hAnsi="Arial" w:cs="Arial"/>
          <w:sz w:val="10"/>
          <w:szCs w:val="10"/>
        </w:rPr>
        <w:footnoteRef/>
      </w:r>
      <w:hyperlink r:id="rId23" w:history="1">
        <w:r>
          <w:rPr>
            <w:rStyle w:val="Footnote1"/>
            <w:rFonts w:ascii="Arial" w:eastAsia="Arial" w:hAnsi="Arial" w:cs="Arial"/>
            <w:sz w:val="10"/>
            <w:szCs w:val="10"/>
          </w:rPr>
          <w:t xml:space="preserve"> </w:t>
        </w:r>
        <w:r>
          <w:rPr>
            <w:rStyle w:val="Footnote1"/>
            <w:u w:val="single"/>
          </w:rPr>
          <w:t>https://elhub.no/data/delt-produksjon/</w:t>
        </w:r>
        <w:bookmarkEnd w:id="80"/>
      </w:hyperlink>
    </w:p>
  </w:footnote>
  <w:footnote w:id="17">
    <w:p w:rsidR="001A38FE" w:rsidRDefault="001A38FE" w:rsidP="007906A8">
      <w:pPr>
        <w:pStyle w:val="Footnote10"/>
      </w:pPr>
      <w:bookmarkStart w:id="81" w:name="bookmark23"/>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РМЕ, Deling av overskuddsproduksjon. 2024.</w:t>
      </w:r>
      <w:bookmarkEnd w:id="81"/>
    </w:p>
  </w:footnote>
  <w:footnote w:id="18">
    <w:p w:rsidR="001A38FE" w:rsidRDefault="001A38FE" w:rsidP="007906A8">
      <w:pPr>
        <w:pStyle w:val="Footnote10"/>
      </w:pPr>
      <w:bookmarkStart w:id="82" w:name="bookmark24"/>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 xml:space="preserve">Norgesnett. eNabo - Fremtidens måte å dele strøm? [цитирано през ноември 2024 г.]. На разположение от: </w:t>
      </w:r>
      <w:hyperlink r:id="rId24" w:history="1">
        <w:r>
          <w:rPr>
            <w:rStyle w:val="Footnote1"/>
            <w:u w:val="single"/>
          </w:rPr>
          <w:t>https://norgesnett.no/kunde/enabo/</w:t>
        </w:r>
        <w:r>
          <w:rPr>
            <w:rStyle w:val="Footnote1"/>
          </w:rPr>
          <w:t>.</w:t>
        </w:r>
        <w:bookmarkEnd w:id="82"/>
      </w:hyperlink>
    </w:p>
  </w:footnote>
  <w:footnote w:id="19">
    <w:p w:rsidR="001A38FE" w:rsidRDefault="001A38FE" w:rsidP="007906A8">
      <w:pPr>
        <w:pStyle w:val="Footnote10"/>
      </w:pPr>
      <w:bookmarkStart w:id="86" w:name="bookmark25"/>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25" w:history="1">
        <w:r>
          <w:rPr>
            <w:rStyle w:val="Footnote1"/>
          </w:rPr>
          <w:t>https://energifaktanorge.no/en/norsk-energiforsyning/kraftnett/</w:t>
        </w:r>
        <w:bookmarkEnd w:id="86"/>
      </w:hyperlink>
    </w:p>
  </w:footnote>
  <w:footnote w:id="20">
    <w:p w:rsidR="001A38FE" w:rsidRDefault="001A38FE" w:rsidP="007906A8">
      <w:pPr>
        <w:pStyle w:val="Footnote10"/>
        <w:spacing w:line="276" w:lineRule="auto"/>
      </w:pPr>
      <w:bookmarkStart w:id="87" w:name="bookmark26"/>
      <w:bookmarkStart w:id="88" w:name="bookmark27"/>
      <w:r>
        <w:rPr>
          <w:rStyle w:val="Footnote1"/>
          <w:rFonts w:ascii="Arial" w:eastAsia="Arial" w:hAnsi="Arial" w:cs="Arial"/>
          <w:sz w:val="10"/>
          <w:szCs w:val="10"/>
        </w:rPr>
        <w:footnoteRef/>
      </w:r>
      <w:r>
        <w:rPr>
          <w:rStyle w:val="Footnote1"/>
        </w:rPr>
        <w:t>https://www.nve.no/norwegian-energy-regulatory-authority/system-operation-in-the-norwegian-power-system/</w:t>
      </w:r>
      <w:bookmarkEnd w:id="87"/>
      <w:bookmarkEnd w:id="88"/>
    </w:p>
  </w:footnote>
  <w:footnote w:id="21">
    <w:p w:rsidR="001A38FE" w:rsidRDefault="001A38FE" w:rsidP="007906A8">
      <w:pPr>
        <w:pStyle w:val="Footnote10"/>
        <w:spacing w:line="276" w:lineRule="auto"/>
        <w:rPr>
          <w:sz w:val="20"/>
          <w:szCs w:val="20"/>
        </w:rPr>
      </w:pPr>
      <w:r>
        <w:rPr>
          <w:rStyle w:val="Footnote1"/>
          <w:sz w:val="20"/>
          <w:szCs w:val="20"/>
        </w:rPr>
        <w:footnoteRef/>
      </w:r>
      <w:r>
        <w:rPr>
          <w:rStyle w:val="Footnote1"/>
          <w:sz w:val="20"/>
          <w:szCs w:val="20"/>
        </w:rPr>
        <w:t>https://www.nordicenergyregulators.org/wp-content/uploads/2015/06/THEMA-Report-2015-02-Mapping-</w:t>
      </w:r>
    </w:p>
    <w:p w:rsidR="001A38FE" w:rsidRDefault="001A38FE" w:rsidP="007906A8">
      <w:pPr>
        <w:pStyle w:val="Footnote10"/>
        <w:spacing w:line="266" w:lineRule="auto"/>
        <w:rPr>
          <w:sz w:val="20"/>
          <w:szCs w:val="20"/>
        </w:rPr>
      </w:pPr>
      <w:r>
        <w:rPr>
          <w:rStyle w:val="Footnote1"/>
          <w:sz w:val="20"/>
          <w:szCs w:val="20"/>
        </w:rPr>
        <w:t>на-ОПС-и-ОРС-отговорности, свързани с обмена на информация.pdf</w:t>
      </w:r>
    </w:p>
  </w:footnote>
  <w:footnote w:id="22">
    <w:p w:rsidR="001A38FE" w:rsidRDefault="001A38FE" w:rsidP="007906A8">
      <w:pPr>
        <w:pStyle w:val="Footnote10"/>
        <w:spacing w:line="252" w:lineRule="auto"/>
        <w:rPr>
          <w:sz w:val="20"/>
          <w:szCs w:val="20"/>
        </w:rPr>
      </w:pPr>
      <w:bookmarkStart w:id="90" w:name="bookmark28"/>
      <w:r>
        <w:rPr>
          <w:rStyle w:val="Footnote1"/>
          <w:sz w:val="20"/>
          <w:szCs w:val="20"/>
        </w:rPr>
        <w:footnoteRef/>
      </w:r>
      <w:r>
        <w:rPr>
          <w:rStyle w:val="Footnote1"/>
          <w:sz w:val="20"/>
          <w:szCs w:val="20"/>
        </w:rPr>
        <w:t xml:space="preserve"> </w:t>
      </w:r>
      <w:hyperlink r:id="rId26" w:history="1">
        <w:r>
          <w:rPr>
            <w:rStyle w:val="Footnote1"/>
            <w:sz w:val="20"/>
            <w:szCs w:val="20"/>
          </w:rPr>
          <w:t>https://www.nve.no/norwegian-energy-regulatory-authority/economic-regulation/</w:t>
        </w:r>
        <w:bookmarkEnd w:id="90"/>
      </w:hyperlink>
    </w:p>
  </w:footnote>
  <w:footnote w:id="23">
    <w:p w:rsidR="001A38FE" w:rsidRDefault="001A38FE" w:rsidP="007906A8">
      <w:pPr>
        <w:pStyle w:val="Footnote10"/>
        <w:spacing w:line="252" w:lineRule="auto"/>
        <w:rPr>
          <w:sz w:val="20"/>
          <w:szCs w:val="20"/>
        </w:rPr>
      </w:pPr>
      <w:bookmarkStart w:id="91" w:name="bookmark29"/>
      <w:r>
        <w:rPr>
          <w:rStyle w:val="Footnote1"/>
          <w:sz w:val="20"/>
          <w:szCs w:val="20"/>
        </w:rPr>
        <w:footnoteRef/>
      </w:r>
      <w:hyperlink r:id="rId27" w:history="1">
        <w:r>
          <w:rPr>
            <w:rStyle w:val="Footnote1"/>
            <w:sz w:val="20"/>
            <w:szCs w:val="20"/>
          </w:rPr>
          <w:t>https://www.nordicenergyregulators.org/wp-content/uploads/2015/06/THEMA-Report-2015-02-Mapping- of-TSO-and-DSO-responsibilities-related-to-information-exchange.pdf</w:t>
        </w:r>
        <w:bookmarkEnd w:id="91"/>
      </w:hyperlink>
      <w:r>
        <w:t xml:space="preserve"> (на английски)</w:t>
      </w:r>
    </w:p>
  </w:footnote>
  <w:footnote w:id="24">
    <w:p w:rsidR="001A38FE" w:rsidRDefault="001A38FE" w:rsidP="007906A8">
      <w:pPr>
        <w:pStyle w:val="Footnote10"/>
      </w:pPr>
      <w:bookmarkStart w:id="95" w:name="bookmark30"/>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28" w:history="1">
        <w:r>
          <w:rPr>
            <w:rStyle w:val="Footnote1"/>
          </w:rPr>
          <w:t>https://lovdata.no/dokument/NL/lov/1990-06-29-50</w:t>
        </w:r>
        <w:bookmarkEnd w:id="95"/>
      </w:hyperlink>
    </w:p>
  </w:footnote>
  <w:footnote w:id="25">
    <w:p w:rsidR="001A38FE" w:rsidRDefault="001A38FE" w:rsidP="007906A8">
      <w:pPr>
        <w:pStyle w:val="Footnote10"/>
        <w:spacing w:line="230" w:lineRule="auto"/>
      </w:pPr>
      <w:bookmarkStart w:id="96" w:name="bookmark31"/>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29" w:history="1">
        <w:r>
          <w:rPr>
            <w:rStyle w:val="Footnote1"/>
          </w:rPr>
          <w:t>https://www.nve.no/norwegian-energy-regulatory-authority/economic-regulation/</w:t>
        </w:r>
        <w:bookmarkEnd w:id="96"/>
      </w:hyperlink>
    </w:p>
  </w:footnote>
  <w:footnote w:id="26">
    <w:p w:rsidR="001A38FE" w:rsidRDefault="001A38FE" w:rsidP="007906A8">
      <w:pPr>
        <w:pStyle w:val="Footnote10"/>
      </w:pPr>
      <w:bookmarkStart w:id="97" w:name="bookmark32"/>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0" w:history="1">
        <w:r>
          <w:rPr>
            <w:rStyle w:val="Footnote1"/>
          </w:rPr>
          <w:t>https://www.nve.no/norwegian-energy-regulatory-authority/network-regulation/quality-of-electricity-supply/</w:t>
        </w:r>
        <w:bookmarkEnd w:id="97"/>
      </w:hyperlink>
    </w:p>
  </w:footnote>
  <w:footnote w:id="27">
    <w:p w:rsidR="001A38FE" w:rsidRDefault="001A38FE" w:rsidP="007906A8">
      <w:pPr>
        <w:pStyle w:val="Footnote10"/>
        <w:spacing w:line="230" w:lineRule="auto"/>
        <w:jc w:val="both"/>
      </w:pPr>
      <w:bookmarkStart w:id="98" w:name="bookmark33"/>
      <w:r>
        <w:rPr>
          <w:rStyle w:val="Footnote1"/>
          <w:rFonts w:ascii="Arial" w:eastAsia="Arial" w:hAnsi="Arial" w:cs="Arial"/>
          <w:sz w:val="10"/>
          <w:szCs w:val="10"/>
        </w:rPr>
        <w:footnoteRef/>
      </w:r>
      <w:r>
        <w:rPr>
          <w:rStyle w:val="Footnote1"/>
        </w:rPr>
        <w:t>https://www.nve.no/norwegian-energy-regulatory-authority/regulatory-cooperation/grid-connection-codes-rfg-dcc-hvdc/</w:t>
      </w:r>
      <w:bookmarkEnd w:id="98"/>
    </w:p>
  </w:footnote>
  <w:footnote w:id="28">
    <w:p w:rsidR="001A38FE" w:rsidRDefault="001A38FE" w:rsidP="007906A8">
      <w:pPr>
        <w:pStyle w:val="Footnote10"/>
      </w:pPr>
      <w:bookmarkStart w:id="102" w:name="bookmark34"/>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1" w:history="1">
        <w:r>
          <w:rPr>
            <w:rStyle w:val="Footnote1"/>
          </w:rPr>
          <w:t>https://www.nve.no/norwegian-energy-regulatory-authority/economic-regulation/</w:t>
        </w:r>
        <w:bookmarkEnd w:id="102"/>
      </w:hyperlink>
    </w:p>
  </w:footnote>
  <w:footnote w:id="29">
    <w:p w:rsidR="001A38FE" w:rsidRDefault="001A38FE" w:rsidP="007906A8">
      <w:pPr>
        <w:pStyle w:val="Footnote10"/>
      </w:pPr>
      <w:bookmarkStart w:id="103" w:name="bookmark35"/>
      <w:r>
        <w:rPr>
          <w:rStyle w:val="Footnote1"/>
          <w:rFonts w:ascii="Arial" w:eastAsia="Arial" w:hAnsi="Arial" w:cs="Arial"/>
          <w:sz w:val="10"/>
          <w:szCs w:val="10"/>
        </w:rPr>
        <w:footnoteRef/>
      </w:r>
      <w:hyperlink r:id="rId32" w:history="1">
        <w:r>
          <w:rPr>
            <w:rStyle w:val="Footnote1"/>
          </w:rPr>
          <w:t>https://www.nordicenergyregulators.org/wp-content/uploads/2017/05/5.-Network-losses-in-the-regulation-Norway.pdf</w:t>
        </w:r>
        <w:bookmarkEnd w:id="103"/>
      </w:hyperlink>
    </w:p>
  </w:footnote>
  <w:footnote w:id="30">
    <w:p w:rsidR="001A38FE" w:rsidRDefault="001A38FE" w:rsidP="007906A8">
      <w:pPr>
        <w:pStyle w:val="Footnote10"/>
        <w:jc w:val="both"/>
      </w:pPr>
      <w:r>
        <w:rPr>
          <w:rStyle w:val="Footnote1"/>
          <w:rFonts w:ascii="Arial" w:eastAsia="Arial" w:hAnsi="Arial" w:cs="Arial"/>
          <w:sz w:val="10"/>
          <w:szCs w:val="10"/>
        </w:rPr>
        <w:footnoteRef/>
      </w:r>
      <w:r>
        <w:rPr>
          <w:rStyle w:val="Footnote1"/>
        </w:rPr>
        <w:t>https://www.elvia.no/hva-er-elvia/elvia-transports-the-electricity-to-your-home/grid-rent-prices-for-private-customers/</w:t>
      </w:r>
    </w:p>
  </w:footnote>
  <w:footnote w:id="31">
    <w:p w:rsidR="001A38FE" w:rsidRDefault="001A38FE" w:rsidP="007906A8">
      <w:pPr>
        <w:pStyle w:val="Footnote10"/>
      </w:pPr>
      <w:bookmarkStart w:id="108" w:name="bookmark37"/>
      <w:r>
        <w:rPr>
          <w:rStyle w:val="Footnote1"/>
          <w:rFonts w:ascii="Arial" w:eastAsia="Arial" w:hAnsi="Arial" w:cs="Arial"/>
          <w:sz w:val="10"/>
          <w:szCs w:val="10"/>
        </w:rPr>
        <w:footnoteRef/>
      </w:r>
      <w:hyperlink r:id="rId33" w:history="1">
        <w:r>
          <w:rPr>
            <w:rStyle w:val="Footnote1"/>
            <w:rFonts w:ascii="Arial" w:eastAsia="Arial" w:hAnsi="Arial" w:cs="Arial"/>
            <w:sz w:val="10"/>
            <w:szCs w:val="10"/>
          </w:rPr>
          <w:t xml:space="preserve"> </w:t>
        </w:r>
        <w:r>
          <w:rPr>
            <w:rStyle w:val="Footnote1"/>
            <w:u w:val="single"/>
          </w:rPr>
          <w:t>https://norgesnett.no/kunde/ny-nettleie/</w:t>
        </w:r>
        <w:bookmarkEnd w:id="108"/>
      </w:hyperlink>
    </w:p>
  </w:footnote>
  <w:footnote w:id="32">
    <w:p w:rsidR="001A38FE" w:rsidRDefault="001A38FE" w:rsidP="007906A8">
      <w:pPr>
        <w:pStyle w:val="Footnote10"/>
      </w:pPr>
      <w:bookmarkStart w:id="110" w:name="bookmark38"/>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4" w:history="1">
        <w:r>
          <w:rPr>
            <w:rStyle w:val="Footnote1"/>
          </w:rPr>
          <w:t>https://www.bkk.no/en/our-grid-tariffs</w:t>
        </w:r>
        <w:bookmarkEnd w:id="110"/>
      </w:hyperlink>
      <w:r>
        <w:t xml:space="preserve"> (Тарифи на нашата мрежа)</w:t>
      </w:r>
    </w:p>
  </w:footnote>
  <w:footnote w:id="33">
    <w:p w:rsidR="001A38FE" w:rsidRDefault="001A38FE" w:rsidP="007906A8">
      <w:pPr>
        <w:pStyle w:val="Footnote10"/>
      </w:pPr>
      <w:bookmarkStart w:id="112" w:name="bookmark39"/>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5" w:history="1">
        <w:r>
          <w:rPr>
            <w:rStyle w:val="Footnote1"/>
          </w:rPr>
          <w:t>https://www.statnett.no/en/for-stakeholders-in-the-power-industry/tariffs/this-years-tariff/</w:t>
        </w:r>
        <w:bookmarkEnd w:id="112"/>
      </w:hyperlink>
    </w:p>
  </w:footnote>
  <w:footnote w:id="34">
    <w:p w:rsidR="001A38FE" w:rsidRDefault="001A38FE" w:rsidP="007906A8">
      <w:pPr>
        <w:pStyle w:val="Footnote10"/>
      </w:pPr>
      <w:bookmarkStart w:id="113" w:name="bookmark40"/>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6" w:history="1">
        <w:r>
          <w:rPr>
            <w:rStyle w:val="Footnote1"/>
          </w:rPr>
          <w:t>https://www.statnett.no/for-aktorer-i-kraftbransjen/tariff/flaskehalsinntekter/</w:t>
        </w:r>
        <w:bookmarkEnd w:id="113"/>
      </w:hyperlink>
    </w:p>
  </w:footnote>
  <w:footnote w:id="35">
    <w:p w:rsidR="001A38FE" w:rsidRDefault="001A38FE" w:rsidP="007906A8">
      <w:pPr>
        <w:pStyle w:val="Footnote10"/>
      </w:pPr>
      <w:bookmarkStart w:id="117" w:name="bookmark41"/>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7" w:history="1">
        <w:r>
          <w:rPr>
            <w:rStyle w:val="Footnote1"/>
          </w:rPr>
          <w:t>https://www.statnett.no/en/for-stakeholders-in-the-power-industry/the-grid-connection-process/</w:t>
        </w:r>
        <w:bookmarkEnd w:id="117"/>
      </w:hyperlink>
    </w:p>
  </w:footnote>
  <w:footnote w:id="36">
    <w:p w:rsidR="001A38FE" w:rsidRDefault="001A38FE" w:rsidP="007906A8">
      <w:pPr>
        <w:pStyle w:val="Footnote10"/>
      </w:pPr>
      <w:bookmarkStart w:id="118" w:name="bookmark42"/>
      <w:r>
        <w:rPr>
          <w:rStyle w:val="Footnote1"/>
          <w:rFonts w:ascii="Arial" w:eastAsia="Arial" w:hAnsi="Arial" w:cs="Arial"/>
          <w:sz w:val="10"/>
          <w:szCs w:val="10"/>
        </w:rPr>
        <w:footnoteRef/>
      </w:r>
      <w:r>
        <w:rPr>
          <w:rStyle w:val="Footnote1"/>
        </w:rPr>
        <w:t>https://www.statnett.no/en/for-stakeholders-in-the-power-industry/the-grid-connection-process/general-information- about-connecting-to-the-grid/</w:t>
      </w:r>
      <w:bookmarkEnd w:id="118"/>
    </w:p>
  </w:footnote>
  <w:footnote w:id="37">
    <w:p w:rsidR="001A38FE" w:rsidRDefault="001A38FE" w:rsidP="007906A8">
      <w:pPr>
        <w:pStyle w:val="Footnote10"/>
      </w:pPr>
      <w:bookmarkStart w:id="122" w:name="bookmark43"/>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8" w:history="1">
        <w:r>
          <w:rPr>
            <w:rStyle w:val="Footnote1"/>
          </w:rPr>
          <w:t>https://www.statnett.no/om-statnett/nyheter-og-pressemeldinger/nyhetsarkiv-2025/storre-apenhet-om-reservert- nettkapasitet-og-hvem-som-star-i-ko/</w:t>
        </w:r>
        <w:bookmarkEnd w:id="122"/>
      </w:hyperlink>
    </w:p>
  </w:footnote>
  <w:footnote w:id="38">
    <w:p w:rsidR="001A38FE" w:rsidRDefault="001A38FE" w:rsidP="007906A8">
      <w:pPr>
        <w:pStyle w:val="Footnote10"/>
      </w:pPr>
      <w:bookmarkStart w:id="123" w:name="bookmark44"/>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39" w:history="1">
        <w:r>
          <w:rPr>
            <w:rStyle w:val="Footnote1"/>
          </w:rPr>
          <w:t>https://www.statnett.no/for-aktorer-i-kraftbransjen/nettkapasitet-til-produksjon-og-forbruk/foresporsler-og-reservasjon- i-nettet/</w:t>
        </w:r>
        <w:bookmarkEnd w:id="123"/>
      </w:hyperlink>
    </w:p>
  </w:footnote>
  <w:footnote w:id="39">
    <w:p w:rsidR="001A38FE" w:rsidRDefault="001A38FE" w:rsidP="007906A8">
      <w:pPr>
        <w:pStyle w:val="Footnote10"/>
      </w:pPr>
      <w:bookmarkStart w:id="124" w:name="bookmark45"/>
      <w:r>
        <w:rPr>
          <w:rStyle w:val="Footnote1"/>
          <w:rFonts w:ascii="Arial" w:eastAsia="Arial" w:hAnsi="Arial" w:cs="Arial"/>
          <w:sz w:val="10"/>
          <w:szCs w:val="10"/>
        </w:rPr>
        <w:footnoteRef/>
      </w:r>
      <w:r>
        <w:rPr>
          <w:rStyle w:val="Footnote1"/>
        </w:rPr>
        <w:t>https://www.statnett.no/en/for-stakeholders-in-the-power-industry/the-grid-connection-process/how-to-get-increased-</w:t>
      </w:r>
      <w:bookmarkEnd w:id="124"/>
    </w:p>
    <w:p w:rsidR="001A38FE" w:rsidRDefault="001A38FE" w:rsidP="007906A8">
      <w:pPr>
        <w:pStyle w:val="Footnote10"/>
      </w:pPr>
      <w:r>
        <w:rPr>
          <w:rStyle w:val="Footnote1"/>
        </w:rPr>
        <w:t>капацитет/</w:t>
      </w:r>
    </w:p>
  </w:footnote>
  <w:footnote w:id="40">
    <w:p w:rsidR="001A38FE" w:rsidRDefault="001A38FE" w:rsidP="007906A8">
      <w:pPr>
        <w:pStyle w:val="Footnote10"/>
      </w:pPr>
      <w:bookmarkStart w:id="125" w:name="bookmark46"/>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40" w:history="1">
        <w:r>
          <w:rPr>
            <w:rStyle w:val="Footnote1"/>
          </w:rPr>
          <w:t>https://www.wr.no/en/news/wr-energy-update-new-requirements-for-allocation-of-grid-capacity</w:t>
        </w:r>
        <w:bookmarkEnd w:id="125"/>
      </w:hyperlink>
      <w:r>
        <w:t xml:space="preserve"> („Новини/wr-energy-update-new-requirements-for-allocation-of-grid-capacity“)</w:t>
      </w:r>
    </w:p>
  </w:footnote>
  <w:footnote w:id="41">
    <w:p w:rsidR="001A38FE" w:rsidRDefault="001A38FE" w:rsidP="007906A8">
      <w:pPr>
        <w:pStyle w:val="Footnote10"/>
      </w:pPr>
      <w:bookmarkStart w:id="129" w:name="bookmark47"/>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41" w:history="1">
        <w:r>
          <w:rPr>
            <w:rStyle w:val="Footnote1"/>
          </w:rPr>
          <w:t>https://powercircle.org/local_flexibility_markets.pdf (на английски)</w:t>
        </w:r>
        <w:bookmarkEnd w:id="129"/>
      </w:hyperlink>
    </w:p>
  </w:footnote>
  <w:footnote w:id="42">
    <w:p w:rsidR="001A38FE" w:rsidRDefault="001A38FE" w:rsidP="007906A8">
      <w:pPr>
        <w:pStyle w:val="Footnote10"/>
      </w:pPr>
      <w:bookmarkStart w:id="130" w:name="bookmark48"/>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42" w:history="1">
        <w:r>
          <w:rPr>
            <w:rStyle w:val="Footnote1"/>
          </w:rPr>
          <w:t>https://nodesmarket.com/euroflex/</w:t>
        </w:r>
        <w:bookmarkEnd w:id="130"/>
      </w:hyperlink>
    </w:p>
  </w:footnote>
  <w:footnote w:id="43">
    <w:p w:rsidR="001A38FE" w:rsidRDefault="001A38FE" w:rsidP="007906A8">
      <w:pPr>
        <w:pStyle w:val="Footnote10"/>
        <w:jc w:val="both"/>
      </w:pPr>
      <w:bookmarkStart w:id="131" w:name="bookmark49"/>
      <w:r>
        <w:rPr>
          <w:rStyle w:val="Footnote1"/>
          <w:rFonts w:ascii="Arial" w:eastAsia="Arial" w:hAnsi="Arial" w:cs="Arial"/>
          <w:sz w:val="10"/>
          <w:szCs w:val="10"/>
        </w:rPr>
        <w:footnoteRef/>
      </w:r>
      <w:r>
        <w:rPr>
          <w:rStyle w:val="Footnote1"/>
        </w:rPr>
        <w:t>https://www.sintef.no/projectweb/cineldi/cineldi-knowledge-base/niva-3/flexibility-markets-for-distribution-grids/</w:t>
      </w:r>
      <w:bookmarkEnd w:id="131"/>
    </w:p>
  </w:footnote>
  <w:footnote w:id="44">
    <w:p w:rsidR="001A38FE" w:rsidRDefault="001A38FE" w:rsidP="007906A8">
      <w:pPr>
        <w:pStyle w:val="Footnote10"/>
        <w:rPr>
          <w:sz w:val="20"/>
          <w:szCs w:val="20"/>
        </w:rPr>
      </w:pPr>
      <w:bookmarkStart w:id="162" w:name="bookmark50"/>
      <w:r>
        <w:rPr>
          <w:rStyle w:val="Footnote1"/>
          <w:sz w:val="20"/>
          <w:szCs w:val="20"/>
        </w:rPr>
        <w:footnoteRef/>
      </w:r>
      <w:r>
        <w:rPr>
          <w:rStyle w:val="Footnote1"/>
          <w:sz w:val="20"/>
          <w:szCs w:val="20"/>
        </w:rPr>
        <w:t xml:space="preserve"> </w:t>
      </w:r>
      <w:hyperlink r:id="rId43" w:history="1">
        <w:r>
          <w:rPr>
            <w:rStyle w:val="Footnote1"/>
            <w:sz w:val="20"/>
            <w:szCs w:val="20"/>
          </w:rPr>
          <w:t>https://www.nve.no/norwegian-energy-regulatory-authority/retail-market/elhub/</w:t>
        </w:r>
        <w:bookmarkEnd w:id="162"/>
      </w:hyperlink>
      <w:r>
        <w:t xml:space="preserve"> (на английски)</w:t>
      </w:r>
    </w:p>
  </w:footnote>
  <w:footnote w:id="45">
    <w:p w:rsidR="001A38FE" w:rsidRDefault="001A38FE" w:rsidP="007906A8">
      <w:pPr>
        <w:pStyle w:val="Footnote10"/>
        <w:rPr>
          <w:sz w:val="20"/>
          <w:szCs w:val="20"/>
        </w:rPr>
      </w:pPr>
      <w:bookmarkStart w:id="163" w:name="bookmark51"/>
      <w:r>
        <w:rPr>
          <w:rStyle w:val="Footnote1"/>
          <w:sz w:val="20"/>
          <w:szCs w:val="20"/>
        </w:rPr>
        <w:footnoteRef/>
      </w:r>
      <w:r>
        <w:rPr>
          <w:rStyle w:val="Footnote1"/>
          <w:sz w:val="20"/>
          <w:szCs w:val="20"/>
        </w:rPr>
        <w:t xml:space="preserve"> </w:t>
      </w:r>
      <w:hyperlink r:id="rId44" w:history="1">
        <w:r>
          <w:rPr>
            <w:rStyle w:val="Footnote1"/>
            <w:sz w:val="20"/>
            <w:szCs w:val="20"/>
          </w:rPr>
          <w:t>https://elhub.no/app/uploads/2018/04/47f6755f6e127fa6d93d94ed2b2a1215.pdf</w:t>
        </w:r>
        <w:bookmarkEnd w:id="163"/>
      </w:hyperlink>
    </w:p>
  </w:footnote>
  <w:footnote w:id="46">
    <w:p w:rsidR="001A38FE" w:rsidRDefault="001A38FE" w:rsidP="007906A8">
      <w:pPr>
        <w:pStyle w:val="Footnote10"/>
        <w:rPr>
          <w:sz w:val="20"/>
          <w:szCs w:val="20"/>
        </w:rPr>
      </w:pPr>
      <w:bookmarkStart w:id="170" w:name="bookmark52"/>
      <w:r>
        <w:rPr>
          <w:rStyle w:val="Footnote1"/>
          <w:sz w:val="20"/>
          <w:szCs w:val="20"/>
        </w:rPr>
        <w:footnoteRef/>
      </w:r>
      <w:r>
        <w:rPr>
          <w:rStyle w:val="Footnote1"/>
          <w:sz w:val="20"/>
          <w:szCs w:val="20"/>
        </w:rPr>
        <w:t xml:space="preserve"> </w:t>
      </w:r>
      <w:hyperlink r:id="rId45" w:history="1">
        <w:r>
          <w:rPr>
            <w:rStyle w:val="Footnote1"/>
            <w:sz w:val="20"/>
            <w:szCs w:val="20"/>
          </w:rPr>
          <w:t>https://dok.elhub.no/e27/elhub-messaging-interface-emif</w:t>
        </w:r>
        <w:bookmarkEnd w:id="170"/>
      </w:hyperlink>
      <w:r>
        <w:t xml:space="preserve"> (на английски)</w:t>
      </w:r>
    </w:p>
  </w:footnote>
  <w:footnote w:id="47">
    <w:p w:rsidR="001A38FE" w:rsidRDefault="001A38FE" w:rsidP="007906A8">
      <w:pPr>
        <w:pStyle w:val="Footnote10"/>
        <w:spacing w:line="252" w:lineRule="auto"/>
        <w:rPr>
          <w:sz w:val="20"/>
          <w:szCs w:val="20"/>
        </w:rPr>
      </w:pPr>
      <w:bookmarkStart w:id="197" w:name="bookmark53"/>
      <w:r>
        <w:rPr>
          <w:rStyle w:val="Footnote1"/>
          <w:sz w:val="20"/>
          <w:szCs w:val="20"/>
        </w:rPr>
        <w:footnoteRef/>
      </w:r>
      <w:hyperlink r:id="rId46" w:history="1">
        <w:r>
          <w:rPr>
            <w:rStyle w:val="Footnote1"/>
            <w:sz w:val="20"/>
            <w:szCs w:val="20"/>
          </w:rPr>
          <w:t xml:space="preserve"> </w:t>
        </w:r>
        <w:r>
          <w:rPr>
            <w:rStyle w:val="Footnote1"/>
            <w:sz w:val="20"/>
            <w:szCs w:val="20"/>
            <w:u w:val="single"/>
          </w:rPr>
          <w:t>Пътна карта за политика и правна рамка за енергийните общности</w:t>
        </w:r>
        <w:r>
          <w:rPr>
            <w:rStyle w:val="Footnote1"/>
            <w:sz w:val="20"/>
            <w:szCs w:val="20"/>
          </w:rPr>
          <w:t xml:space="preserve"> </w:t>
        </w:r>
      </w:hyperlink>
      <w:r>
        <w:rPr>
          <w:rStyle w:val="Footnote1"/>
          <w:sz w:val="20"/>
          <w:szCs w:val="20"/>
        </w:rPr>
        <w:t>(2024 г.), Генерална дирекция „Енергетика“, Хранилище на Енергийната общност.</w:t>
      </w:r>
      <w:bookmarkEnd w:id="197"/>
    </w:p>
  </w:footnote>
  <w:footnote w:id="48">
    <w:p w:rsidR="001A38FE" w:rsidRPr="00664C71" w:rsidRDefault="001A38FE" w:rsidP="007906A8">
      <w:pPr>
        <w:pStyle w:val="Footnote10"/>
      </w:pPr>
      <w:bookmarkStart w:id="215" w:name="bookmark54"/>
      <w:r w:rsidRPr="00664C71">
        <w:rPr>
          <w:rStyle w:val="Footnote1"/>
        </w:rPr>
        <w:footnoteRef/>
      </w:r>
      <w:hyperlink r:id="rId47" w:history="1">
        <w:r w:rsidRPr="00664C71">
          <w:rPr>
            <w:rStyle w:val="Footnote1"/>
          </w:rPr>
          <w:t xml:space="preserve"> </w:t>
        </w:r>
        <w:r w:rsidRPr="00664C71">
          <w:rPr>
            <w:rStyle w:val="Footnote1"/>
            <w:u w:val="single"/>
          </w:rPr>
          <w:t>https://thegreentank.gr/wp-content/uploads/2024/11/202411_%CE%A4heGreenTank_EnComBrief_6_final_ENG-1.pdf</w:t>
        </w:r>
        <w:bookmarkEnd w:id="215"/>
      </w:hyperlink>
    </w:p>
  </w:footnote>
  <w:footnote w:id="49">
    <w:p w:rsidR="001A38FE" w:rsidRDefault="001A38FE" w:rsidP="007906A8">
      <w:pPr>
        <w:pStyle w:val="Footnote10"/>
        <w:pBdr>
          <w:top w:val="single" w:sz="4" w:space="0" w:color="auto"/>
        </w:pBdr>
      </w:pPr>
      <w:bookmarkStart w:id="216" w:name="bookmark55"/>
      <w:r>
        <w:rPr>
          <w:rStyle w:val="Footnote1"/>
          <w:rFonts w:ascii="Arial" w:eastAsia="Arial" w:hAnsi="Arial" w:cs="Arial"/>
          <w:sz w:val="10"/>
          <w:szCs w:val="10"/>
        </w:rPr>
        <w:footnoteRef/>
      </w:r>
      <w:hyperlink r:id="rId48" w:history="1">
        <w:r>
          <w:rPr>
            <w:rStyle w:val="Footnote1"/>
            <w:rFonts w:ascii="Arial" w:eastAsia="Arial" w:hAnsi="Arial" w:cs="Arial"/>
            <w:sz w:val="10"/>
            <w:szCs w:val="10"/>
          </w:rPr>
          <w:t xml:space="preserve"> </w:t>
        </w:r>
        <w:r>
          <w:rPr>
            <w:rStyle w:val="Footnote1"/>
            <w:u w:val="single"/>
          </w:rPr>
          <w:t>rescoop.eu (на английски)</w:t>
        </w:r>
        <w:bookmarkEnd w:id="216"/>
      </w:hyperlink>
    </w:p>
  </w:footnote>
  <w:footnote w:id="50">
    <w:p w:rsidR="001A38FE" w:rsidRDefault="001A38FE" w:rsidP="006E3233">
      <w:pPr>
        <w:pStyle w:val="Footnote10"/>
      </w:pPr>
      <w:bookmarkStart w:id="217" w:name="bookmark56"/>
      <w:r>
        <w:rPr>
          <w:rStyle w:val="Footnote1"/>
          <w:rFonts w:ascii="Arial" w:eastAsia="Arial" w:hAnsi="Arial" w:cs="Arial"/>
          <w:sz w:val="10"/>
          <w:szCs w:val="10"/>
        </w:rPr>
        <w:footnoteRef/>
      </w:r>
      <w:hyperlink r:id="rId49" w:history="1">
        <w:r>
          <w:rPr>
            <w:rStyle w:val="Footnote1"/>
            <w:rFonts w:ascii="Arial" w:eastAsia="Arial" w:hAnsi="Arial" w:cs="Arial"/>
            <w:sz w:val="10"/>
            <w:szCs w:val="10"/>
          </w:rPr>
          <w:t xml:space="preserve"> </w:t>
        </w:r>
        <w:r>
          <w:rPr>
            <w:rStyle w:val="Footnote1"/>
            <w:u w:val="single"/>
          </w:rPr>
          <w:t>energycommunityplatform.eu (на английски)</w:t>
        </w:r>
        <w:bookmarkEnd w:id="217"/>
      </w:hyperlink>
    </w:p>
  </w:footnote>
  <w:footnote w:id="51">
    <w:p w:rsidR="001A38FE" w:rsidRDefault="001A38FE" w:rsidP="007906A8">
      <w:pPr>
        <w:pStyle w:val="Footnote10"/>
      </w:pPr>
      <w:r>
        <w:rPr>
          <w:rStyle w:val="Footnote1"/>
          <w:rFonts w:ascii="Arial" w:eastAsia="Arial" w:hAnsi="Arial" w:cs="Arial"/>
          <w:sz w:val="10"/>
          <w:szCs w:val="10"/>
        </w:rPr>
        <w:footnoteRef/>
      </w:r>
      <w:hyperlink r:id="rId50" w:history="1">
        <w:r>
          <w:rPr>
            <w:rStyle w:val="Footnote1"/>
            <w:rFonts w:ascii="Arial" w:eastAsia="Arial" w:hAnsi="Arial" w:cs="Arial"/>
            <w:sz w:val="10"/>
            <w:szCs w:val="10"/>
          </w:rPr>
          <w:t xml:space="preserve"> </w:t>
        </w:r>
        <w:r>
          <w:rPr>
            <w:rStyle w:val="Footnote1"/>
            <w:u w:val="single"/>
          </w:rPr>
          <w:t>https://pub.norden.org/nordicenergyresearch2023-03/germany.html</w:t>
        </w:r>
      </w:hyperlink>
      <w:r>
        <w:t xml:space="preserve"> (на английски)</w:t>
      </w:r>
    </w:p>
  </w:footnote>
  <w:footnote w:id="52">
    <w:p w:rsidR="001A38FE" w:rsidRDefault="001A38FE" w:rsidP="007906A8">
      <w:pPr>
        <w:pStyle w:val="Footnote10"/>
      </w:pPr>
      <w:bookmarkStart w:id="221" w:name="bookmark58"/>
      <w:r>
        <w:rPr>
          <w:rStyle w:val="Footnote1"/>
          <w:rFonts w:ascii="Times New Roman" w:eastAsia="Times New Roman" w:hAnsi="Times New Roman" w:cs="Times New Roman"/>
          <w:b/>
          <w:bCs/>
          <w:sz w:val="12"/>
          <w:szCs w:val="12"/>
        </w:rPr>
        <w:footnoteRef/>
      </w:r>
      <w:hyperlink r:id="rId51" w:history="1">
        <w:r>
          <w:rPr>
            <w:rStyle w:val="Footnote1"/>
            <w:rFonts w:ascii="Times New Roman" w:eastAsia="Times New Roman" w:hAnsi="Times New Roman" w:cs="Times New Roman"/>
            <w:b/>
            <w:bCs/>
            <w:sz w:val="12"/>
            <w:szCs w:val="12"/>
          </w:rPr>
          <w:t xml:space="preserve"> </w:t>
        </w:r>
        <w:r>
          <w:rPr>
            <w:rStyle w:val="Footnote1"/>
            <w:u w:val="single"/>
          </w:rPr>
          <w:t>www.marktstammdatenregister.de</w:t>
        </w:r>
        <w:bookmarkEnd w:id="221"/>
      </w:hyperlink>
      <w:r>
        <w:t xml:space="preserve"> (на английски)</w:t>
      </w:r>
    </w:p>
  </w:footnote>
  <w:footnote w:id="53">
    <w:p w:rsidR="001A38FE" w:rsidRDefault="001A38FE" w:rsidP="007906A8">
      <w:pPr>
        <w:pStyle w:val="Footnote10"/>
      </w:pPr>
      <w:bookmarkStart w:id="222" w:name="bookmark59"/>
      <w:r>
        <w:rPr>
          <w:rStyle w:val="Footnote1"/>
          <w:rFonts w:ascii="Arial" w:eastAsia="Arial" w:hAnsi="Arial" w:cs="Arial"/>
          <w:sz w:val="10"/>
          <w:szCs w:val="10"/>
        </w:rPr>
        <w:footnoteRef/>
      </w:r>
      <w:hyperlink r:id="rId52" w:history="1">
        <w:r>
          <w:rPr>
            <w:rStyle w:val="Footnote1"/>
            <w:rFonts w:ascii="Arial" w:eastAsia="Arial" w:hAnsi="Arial" w:cs="Arial"/>
            <w:sz w:val="10"/>
            <w:szCs w:val="10"/>
          </w:rPr>
          <w:t xml:space="preserve"> </w:t>
        </w:r>
        <w:r>
          <w:rPr>
            <w:rStyle w:val="Footnote1"/>
            <w:u w:val="single"/>
          </w:rPr>
          <w:t>clean-energy-islands.ec.europa.eu (на английски)</w:t>
        </w:r>
        <w:bookmarkEnd w:id="222"/>
      </w:hyperlink>
    </w:p>
  </w:footnote>
  <w:footnote w:id="54">
    <w:p w:rsidR="001A38FE" w:rsidRDefault="001A38FE" w:rsidP="007906A8">
      <w:pPr>
        <w:pStyle w:val="Footnote10"/>
      </w:pPr>
      <w:bookmarkStart w:id="223" w:name="bookmark60"/>
      <w:r>
        <w:rPr>
          <w:rStyle w:val="Footnote1"/>
          <w:rFonts w:ascii="Arial" w:eastAsia="Arial" w:hAnsi="Arial" w:cs="Arial"/>
          <w:sz w:val="10"/>
          <w:szCs w:val="10"/>
        </w:rPr>
        <w:footnoteRef/>
      </w:r>
      <w:hyperlink r:id="rId53" w:history="1">
        <w:r>
          <w:rPr>
            <w:rStyle w:val="Footnote1"/>
            <w:rFonts w:ascii="Arial" w:eastAsia="Arial" w:hAnsi="Arial" w:cs="Arial"/>
            <w:sz w:val="10"/>
            <w:szCs w:val="10"/>
          </w:rPr>
          <w:t xml:space="preserve"> </w:t>
        </w:r>
        <w:r>
          <w:rPr>
            <w:rStyle w:val="Footnote1"/>
            <w:u w:val="single"/>
          </w:rPr>
          <w:t>bundesnetzagentur.de (на английски)</w:t>
        </w:r>
        <w:bookmarkEnd w:id="223"/>
      </w:hyperlink>
    </w:p>
  </w:footnote>
  <w:footnote w:id="55">
    <w:p w:rsidR="001A38FE" w:rsidRDefault="001A38FE" w:rsidP="007906A8">
      <w:pPr>
        <w:pStyle w:val="Footnote10"/>
      </w:pPr>
      <w:bookmarkStart w:id="224" w:name="bookmark61"/>
      <w:r>
        <w:rPr>
          <w:rStyle w:val="Footnote1"/>
          <w:rFonts w:ascii="Arial" w:eastAsia="Arial" w:hAnsi="Arial" w:cs="Arial"/>
          <w:sz w:val="10"/>
          <w:szCs w:val="10"/>
        </w:rPr>
        <w:footnoteRef/>
      </w:r>
      <w:hyperlink r:id="rId54" w:history="1">
        <w:r>
          <w:rPr>
            <w:rStyle w:val="Footnote1"/>
            <w:rFonts w:ascii="Arial" w:eastAsia="Arial" w:hAnsi="Arial" w:cs="Arial"/>
            <w:sz w:val="10"/>
            <w:szCs w:val="10"/>
          </w:rPr>
          <w:t xml:space="preserve"> </w:t>
        </w:r>
        <w:r>
          <w:rPr>
            <w:rStyle w:val="Footnote1"/>
            <w:u w:val="single"/>
          </w:rPr>
          <w:t>pub.norden.org (на български)</w:t>
        </w:r>
        <w:bookmarkEnd w:id="224"/>
      </w:hyperlink>
    </w:p>
  </w:footnote>
  <w:footnote w:id="56">
    <w:p w:rsidR="001A38FE" w:rsidRDefault="001A38FE" w:rsidP="007906A8">
      <w:pPr>
        <w:pStyle w:val="Footnote10"/>
      </w:pPr>
      <w:bookmarkStart w:id="228" w:name="bookmark62"/>
      <w:r>
        <w:rPr>
          <w:rStyle w:val="Footnote1"/>
          <w:rFonts w:ascii="Arial" w:eastAsia="Arial" w:hAnsi="Arial" w:cs="Arial"/>
          <w:sz w:val="10"/>
          <w:szCs w:val="10"/>
        </w:rPr>
        <w:footnoteRef/>
      </w:r>
      <w:hyperlink r:id="rId55" w:history="1">
        <w:r>
          <w:rPr>
            <w:rStyle w:val="Footnote1"/>
            <w:rFonts w:ascii="Arial" w:eastAsia="Arial" w:hAnsi="Arial" w:cs="Arial"/>
            <w:sz w:val="10"/>
            <w:szCs w:val="10"/>
          </w:rPr>
          <w:t xml:space="preserve"> </w:t>
        </w:r>
        <w:r>
          <w:rPr>
            <w:rStyle w:val="Footnote1"/>
            <w:u w:val="single"/>
          </w:rPr>
          <w:t>https://www.rescoop.eu/policy/transposition-tracker/enabling-frameworks-support-schemes/france</w:t>
        </w:r>
        <w:bookmarkEnd w:id="228"/>
      </w:hyperlink>
      <w:r>
        <w:t xml:space="preserve"> (на английски)</w:t>
      </w:r>
    </w:p>
  </w:footnote>
  <w:footnote w:id="57">
    <w:p w:rsidR="001A38FE" w:rsidRDefault="001A38FE" w:rsidP="007906A8">
      <w:pPr>
        <w:pStyle w:val="Footnote10"/>
      </w:pPr>
      <w:bookmarkStart w:id="229" w:name="bookmark63"/>
      <w:r>
        <w:rPr>
          <w:rStyle w:val="Footnote1"/>
          <w:rFonts w:ascii="Arial" w:eastAsia="Arial" w:hAnsi="Arial" w:cs="Arial"/>
          <w:sz w:val="10"/>
          <w:szCs w:val="10"/>
        </w:rPr>
        <w:footnoteRef/>
      </w:r>
      <w:hyperlink r:id="rId56" w:history="1">
        <w:r>
          <w:rPr>
            <w:rStyle w:val="Footnote1"/>
            <w:rFonts w:ascii="Arial" w:eastAsia="Arial" w:hAnsi="Arial" w:cs="Arial"/>
            <w:sz w:val="10"/>
            <w:szCs w:val="10"/>
          </w:rPr>
          <w:t xml:space="preserve"> </w:t>
        </w:r>
        <w:r>
          <w:rPr>
            <w:rStyle w:val="Footnote1"/>
            <w:u w:val="single"/>
          </w:rPr>
          <w:t>https://www.data.gouv.fr/fr/datasets/registre-national-des-installations-de-production-et-de-stockage-delectricite-au-31-</w:t>
        </w:r>
        <w:bookmarkEnd w:id="229"/>
      </w:hyperlink>
    </w:p>
    <w:p w:rsidR="001A38FE" w:rsidRDefault="00567EA3" w:rsidP="007906A8">
      <w:pPr>
        <w:pStyle w:val="Footnote10"/>
      </w:pPr>
      <w:hyperlink r:id="rId57" w:history="1">
        <w:r w:rsidR="001A38FE">
          <w:rPr>
            <w:rStyle w:val="Footnote1"/>
            <w:u w:val="single"/>
          </w:rPr>
          <w:t>08-2024/?utm_source=chatgpt.com</w:t>
        </w:r>
      </w:hyperlink>
    </w:p>
  </w:footnote>
  <w:footnote w:id="58">
    <w:p w:rsidR="001A38FE" w:rsidRDefault="001A38FE" w:rsidP="007906A8">
      <w:pPr>
        <w:pStyle w:val="Footnote10"/>
      </w:pPr>
      <w:r>
        <w:rPr>
          <w:rStyle w:val="Footnote1"/>
          <w:rFonts w:ascii="Arial" w:eastAsia="Arial" w:hAnsi="Arial" w:cs="Arial"/>
          <w:sz w:val="10"/>
          <w:szCs w:val="10"/>
        </w:rPr>
        <w:footnoteRef/>
      </w:r>
      <w:hyperlink r:id="rId58" w:history="1">
        <w:r>
          <w:rPr>
            <w:rStyle w:val="Footnote1"/>
            <w:rFonts w:ascii="Arial" w:eastAsia="Arial" w:hAnsi="Arial" w:cs="Arial"/>
            <w:sz w:val="10"/>
            <w:szCs w:val="10"/>
          </w:rPr>
          <w:t xml:space="preserve"> </w:t>
        </w:r>
        <w:r>
          <w:rPr>
            <w:rStyle w:val="Footnote1"/>
            <w:u w:val="single"/>
          </w:rPr>
          <w:t>cler.org (на английски)</w:t>
        </w:r>
      </w:hyperlink>
    </w:p>
  </w:footnote>
  <w:footnote w:id="59">
    <w:p w:rsidR="001A38FE" w:rsidRDefault="001A38FE" w:rsidP="007906A8">
      <w:pPr>
        <w:pStyle w:val="Footnote10"/>
      </w:pPr>
      <w:bookmarkStart w:id="230" w:name="bookmark65"/>
      <w:r>
        <w:rPr>
          <w:rStyle w:val="Footnote1"/>
          <w:rFonts w:ascii="Arial" w:eastAsia="Arial" w:hAnsi="Arial" w:cs="Arial"/>
          <w:sz w:val="10"/>
          <w:szCs w:val="10"/>
        </w:rPr>
        <w:footnoteRef/>
      </w:r>
      <w:hyperlink r:id="rId59" w:history="1">
        <w:r>
          <w:rPr>
            <w:rStyle w:val="Footnote1"/>
            <w:rFonts w:ascii="Arial" w:eastAsia="Arial" w:hAnsi="Arial" w:cs="Arial"/>
            <w:sz w:val="10"/>
            <w:szCs w:val="10"/>
          </w:rPr>
          <w:t xml:space="preserve"> </w:t>
        </w:r>
        <w:r>
          <w:rPr>
            <w:rStyle w:val="Footnote1"/>
            <w:u w:val="single"/>
          </w:rPr>
          <w:t>planification.climat-energie.gouv.fr</w:t>
        </w:r>
        <w:bookmarkEnd w:id="230"/>
      </w:hyperlink>
      <w:r>
        <w:t xml:space="preserve"> (планиране.климат-енергетика.гув.фр)</w:t>
      </w:r>
    </w:p>
  </w:footnote>
  <w:footnote w:id="60">
    <w:p w:rsidR="001A38FE" w:rsidRDefault="001A38FE" w:rsidP="007906A8">
      <w:pPr>
        <w:pStyle w:val="Footnote10"/>
        <w:spacing w:line="230" w:lineRule="auto"/>
      </w:pPr>
      <w:bookmarkStart w:id="231" w:name="bookmark66"/>
      <w:r>
        <w:rPr>
          <w:rStyle w:val="Footnote1"/>
          <w:rFonts w:ascii="Arial" w:eastAsia="Arial" w:hAnsi="Arial" w:cs="Arial"/>
          <w:sz w:val="10"/>
          <w:szCs w:val="10"/>
        </w:rPr>
        <w:footnoteRef/>
      </w:r>
      <w:hyperlink r:id="rId60" w:history="1">
        <w:r>
          <w:rPr>
            <w:rStyle w:val="Footnote1"/>
            <w:rFonts w:ascii="Arial" w:eastAsia="Arial" w:hAnsi="Arial" w:cs="Arial"/>
            <w:sz w:val="10"/>
            <w:szCs w:val="10"/>
          </w:rPr>
          <w:t xml:space="preserve"> </w:t>
        </w:r>
        <w:r>
          <w:rPr>
            <w:rStyle w:val="Footnote1"/>
            <w:u w:val="single"/>
          </w:rPr>
          <w:t>данни.gouv.fr</w:t>
        </w:r>
        <w:bookmarkEnd w:id="231"/>
      </w:hyperlink>
    </w:p>
  </w:footnote>
  <w:footnote w:id="61">
    <w:p w:rsidR="001A38FE" w:rsidRDefault="001A38FE" w:rsidP="007906A8">
      <w:pPr>
        <w:pStyle w:val="Footnote10"/>
      </w:pPr>
      <w:bookmarkStart w:id="235" w:name="bookmark67"/>
      <w:r>
        <w:rPr>
          <w:rStyle w:val="Footnote1"/>
          <w:rFonts w:ascii="Arial" w:eastAsia="Arial" w:hAnsi="Arial" w:cs="Arial"/>
          <w:sz w:val="10"/>
          <w:szCs w:val="10"/>
        </w:rPr>
        <w:footnoteRef/>
      </w:r>
      <w:hyperlink r:id="rId61" w:history="1">
        <w:r>
          <w:rPr>
            <w:rStyle w:val="Footnote1"/>
            <w:rFonts w:ascii="Arial" w:eastAsia="Arial" w:hAnsi="Arial" w:cs="Arial"/>
            <w:sz w:val="10"/>
            <w:szCs w:val="10"/>
          </w:rPr>
          <w:t xml:space="preserve"> </w:t>
        </w:r>
        <w:r>
          <w:rPr>
            <w:rStyle w:val="Footnote1"/>
            <w:u w:val="single"/>
          </w:rPr>
          <w:t>https://www.ambienteitalia.it/en/servizi/comunita-energetiche-rinnovabili-cer/</w:t>
        </w:r>
        <w:bookmarkEnd w:id="235"/>
      </w:hyperlink>
    </w:p>
  </w:footnote>
  <w:footnote w:id="62">
    <w:p w:rsidR="001A38FE" w:rsidRDefault="001A38FE" w:rsidP="007906A8">
      <w:pPr>
        <w:pStyle w:val="Footnote10"/>
      </w:pPr>
      <w:bookmarkStart w:id="236" w:name="bookmark68"/>
      <w:r>
        <w:rPr>
          <w:rStyle w:val="Footnote1"/>
          <w:rFonts w:ascii="Arial" w:eastAsia="Arial" w:hAnsi="Arial" w:cs="Arial"/>
          <w:sz w:val="10"/>
          <w:szCs w:val="10"/>
        </w:rPr>
        <w:footnoteRef/>
      </w:r>
      <w:hyperlink r:id="rId62" w:history="1">
        <w:r>
          <w:rPr>
            <w:rStyle w:val="Footnote1"/>
            <w:rFonts w:ascii="Arial" w:eastAsia="Arial" w:hAnsi="Arial" w:cs="Arial"/>
            <w:sz w:val="10"/>
            <w:szCs w:val="10"/>
          </w:rPr>
          <w:t xml:space="preserve"> </w:t>
        </w:r>
        <w:r>
          <w:rPr>
            <w:rStyle w:val="Footnote1"/>
            <w:u w:val="single"/>
          </w:rPr>
          <w:t>magaldigreenenergy.com (Български)</w:t>
        </w:r>
        <w:bookmarkEnd w:id="236"/>
      </w:hyperlink>
    </w:p>
  </w:footnote>
  <w:footnote w:id="63">
    <w:p w:rsidR="001A38FE" w:rsidRDefault="001A38FE" w:rsidP="007906A8">
      <w:pPr>
        <w:pStyle w:val="Footnote10"/>
        <w:pBdr>
          <w:top w:val="single" w:sz="4" w:space="0" w:color="auto"/>
        </w:pBdr>
      </w:pPr>
      <w:bookmarkStart w:id="237" w:name="bookmark69"/>
      <w:r>
        <w:rPr>
          <w:rStyle w:val="Footnote1"/>
          <w:rFonts w:ascii="Arial" w:eastAsia="Arial" w:hAnsi="Arial" w:cs="Arial"/>
          <w:sz w:val="10"/>
          <w:szCs w:val="10"/>
        </w:rPr>
        <w:footnoteRef/>
      </w:r>
      <w:hyperlink r:id="rId63" w:history="1">
        <w:r>
          <w:rPr>
            <w:rStyle w:val="Footnote1"/>
            <w:rFonts w:ascii="Arial" w:eastAsia="Arial" w:hAnsi="Arial" w:cs="Arial"/>
            <w:sz w:val="10"/>
            <w:szCs w:val="10"/>
          </w:rPr>
          <w:t xml:space="preserve"> </w:t>
        </w:r>
        <w:r>
          <w:rPr>
            <w:rStyle w:val="Footnote1"/>
            <w:u w:val="single"/>
          </w:rPr>
          <w:t>rescoop.eu (на английски)</w:t>
        </w:r>
        <w:bookmarkEnd w:id="237"/>
      </w:hyperlink>
    </w:p>
  </w:footnote>
  <w:footnote w:id="64">
    <w:p w:rsidR="001A38FE" w:rsidRDefault="001A38FE" w:rsidP="007906A8">
      <w:pPr>
        <w:pStyle w:val="Footnote10"/>
      </w:pPr>
      <w:bookmarkStart w:id="241" w:name="bookmark70"/>
      <w:r>
        <w:rPr>
          <w:rStyle w:val="Footnote1"/>
          <w:rFonts w:ascii="Arial" w:eastAsia="Arial" w:hAnsi="Arial" w:cs="Arial"/>
          <w:sz w:val="10"/>
          <w:szCs w:val="10"/>
        </w:rPr>
        <w:footnoteRef/>
      </w:r>
      <w:hyperlink r:id="rId64" w:history="1">
        <w:r>
          <w:rPr>
            <w:rStyle w:val="Footnote1"/>
            <w:rFonts w:ascii="Arial" w:eastAsia="Arial" w:hAnsi="Arial" w:cs="Arial"/>
            <w:sz w:val="10"/>
            <w:szCs w:val="10"/>
          </w:rPr>
          <w:t xml:space="preserve"> </w:t>
        </w:r>
        <w:r>
          <w:rPr>
            <w:rStyle w:val="Footnote1"/>
            <w:u w:val="single"/>
          </w:rPr>
          <w:t>dbu.de</w:t>
        </w:r>
        <w:bookmarkEnd w:id="241"/>
      </w:hyperlink>
    </w:p>
  </w:footnote>
  <w:footnote w:id="65">
    <w:p w:rsidR="001A38FE" w:rsidRDefault="001A38FE" w:rsidP="007906A8">
      <w:pPr>
        <w:pStyle w:val="Footnote10"/>
      </w:pPr>
      <w:bookmarkStart w:id="242" w:name="bookmark71"/>
      <w:r>
        <w:rPr>
          <w:rStyle w:val="Footnote1"/>
          <w:rFonts w:ascii="Arial" w:eastAsia="Arial" w:hAnsi="Arial" w:cs="Arial"/>
          <w:sz w:val="10"/>
          <w:szCs w:val="10"/>
        </w:rPr>
        <w:footnoteRef/>
      </w:r>
      <w:hyperlink r:id="rId65" w:history="1">
        <w:r>
          <w:rPr>
            <w:rStyle w:val="Footnote1"/>
            <w:rFonts w:ascii="Arial" w:eastAsia="Arial" w:hAnsi="Arial" w:cs="Arial"/>
            <w:sz w:val="10"/>
            <w:szCs w:val="10"/>
          </w:rPr>
          <w:t xml:space="preserve"> </w:t>
        </w:r>
        <w:r>
          <w:rPr>
            <w:rStyle w:val="Footnote1"/>
            <w:u w:val="single"/>
          </w:rPr>
          <w:t>https://www.rescoop.eu/policy/transposition-tracker/enabling-frameworks-support-schemes/romania</w:t>
        </w:r>
        <w:bookmarkEnd w:id="242"/>
      </w:hyperlink>
      <w:r>
        <w:t xml:space="preserve"> (на английски)</w:t>
      </w:r>
    </w:p>
  </w:footnote>
  <w:footnote w:id="66">
    <w:p w:rsidR="001A38FE" w:rsidRDefault="001A38FE" w:rsidP="007906A8">
      <w:pPr>
        <w:pStyle w:val="Footnote10"/>
      </w:pPr>
      <w:bookmarkStart w:id="243" w:name="bookmark72"/>
      <w:r>
        <w:rPr>
          <w:rStyle w:val="Footnote1"/>
          <w:rFonts w:ascii="Arial" w:eastAsia="Arial" w:hAnsi="Arial" w:cs="Arial"/>
          <w:sz w:val="10"/>
          <w:szCs w:val="10"/>
        </w:rPr>
        <w:footnoteRef/>
      </w:r>
      <w:hyperlink r:id="rId66" w:history="1">
        <w:r>
          <w:rPr>
            <w:rStyle w:val="Footnote1"/>
            <w:rFonts w:ascii="Arial" w:eastAsia="Arial" w:hAnsi="Arial" w:cs="Arial"/>
            <w:sz w:val="10"/>
            <w:szCs w:val="10"/>
          </w:rPr>
          <w:t xml:space="preserve"> </w:t>
        </w:r>
        <w:r>
          <w:rPr>
            <w:rStyle w:val="Footnote1"/>
            <w:u w:val="single"/>
          </w:rPr>
          <w:t>https://www.linkedin.com/pulse/unlocking-renewable-energy-potential-romanias-updated-stamate-mypff/</w:t>
        </w:r>
        <w:bookmarkEnd w:id="243"/>
      </w:hyperlink>
    </w:p>
  </w:footnote>
  <w:footnote w:id="67">
    <w:p w:rsidR="001A38FE" w:rsidRDefault="001A38FE" w:rsidP="007906A8">
      <w:pPr>
        <w:pStyle w:val="Footnote10"/>
      </w:pPr>
      <w:bookmarkStart w:id="244" w:name="bookmark73"/>
      <w:r>
        <w:rPr>
          <w:rStyle w:val="Footnote1"/>
          <w:rFonts w:ascii="Arial" w:eastAsia="Arial" w:hAnsi="Arial" w:cs="Arial"/>
          <w:sz w:val="10"/>
          <w:szCs w:val="10"/>
        </w:rPr>
        <w:footnoteRef/>
      </w:r>
      <w:hyperlink r:id="rId67" w:history="1">
        <w:r>
          <w:rPr>
            <w:rStyle w:val="Footnote1"/>
            <w:u w:val="single"/>
          </w:rPr>
          <w:t>https://interreg-danube.eu/projects/nrgcom/news/creating-a-favorable-legal-framework-for-energy-communities-in-</w:t>
        </w:r>
      </w:hyperlink>
      <w:r>
        <w:rPr>
          <w:rStyle w:val="Footnote1"/>
          <w:u w:val="single"/>
        </w:rPr>
        <w:t xml:space="preserve"> </w:t>
      </w:r>
      <w:hyperlink r:id="rId68" w:history="1">
        <w:r>
          <w:rPr>
            <w:rStyle w:val="Footnote1"/>
          </w:rPr>
          <w:t>romania</w:t>
        </w:r>
        <w:bookmarkEnd w:id="244"/>
      </w:hyperlink>
      <w:r>
        <w:t xml:space="preserve"> (на английски)</w:t>
      </w:r>
    </w:p>
  </w:footnote>
  <w:footnote w:id="68">
    <w:p w:rsidR="001A38FE" w:rsidRDefault="001A38FE" w:rsidP="007906A8">
      <w:pPr>
        <w:pStyle w:val="Footnote10"/>
        <w:pBdr>
          <w:top w:val="single" w:sz="4" w:space="0" w:color="auto"/>
        </w:pBdr>
      </w:pPr>
      <w:bookmarkStart w:id="248" w:name="bookmark74"/>
      <w:r>
        <w:rPr>
          <w:rStyle w:val="Footnote1"/>
          <w:rFonts w:ascii="Arial" w:eastAsia="Arial" w:hAnsi="Arial" w:cs="Arial"/>
          <w:sz w:val="10"/>
          <w:szCs w:val="10"/>
        </w:rPr>
        <w:footnoteRef/>
      </w:r>
      <w:hyperlink r:id="rId69" w:history="1">
        <w:r>
          <w:rPr>
            <w:rStyle w:val="Footnote1"/>
            <w:rFonts w:ascii="Arial" w:eastAsia="Arial" w:hAnsi="Arial" w:cs="Arial"/>
            <w:sz w:val="10"/>
            <w:szCs w:val="10"/>
          </w:rPr>
          <w:t xml:space="preserve"> </w:t>
        </w:r>
        <w:r>
          <w:rPr>
            <w:rStyle w:val="Footnote1"/>
            <w:u w:val="single"/>
          </w:rPr>
          <w:t>de.wikipedia.org (на български)</w:t>
        </w:r>
        <w:bookmarkEnd w:id="248"/>
      </w:hyperlink>
    </w:p>
  </w:footnote>
  <w:footnote w:id="69">
    <w:p w:rsidR="001A38FE" w:rsidRDefault="001A38FE" w:rsidP="007906A8">
      <w:pPr>
        <w:pStyle w:val="Footnote10"/>
      </w:pPr>
      <w:bookmarkStart w:id="249" w:name="bookmark75"/>
      <w:r>
        <w:rPr>
          <w:rStyle w:val="Footnote1"/>
          <w:rFonts w:ascii="Arial" w:eastAsia="Arial" w:hAnsi="Arial" w:cs="Arial"/>
          <w:sz w:val="10"/>
          <w:szCs w:val="10"/>
        </w:rPr>
        <w:footnoteRef/>
      </w:r>
      <w:hyperlink r:id="rId70" w:history="1">
        <w:r>
          <w:rPr>
            <w:rStyle w:val="Footnote1"/>
            <w:rFonts w:ascii="Arial" w:eastAsia="Arial" w:hAnsi="Arial" w:cs="Arial"/>
            <w:sz w:val="10"/>
            <w:szCs w:val="10"/>
          </w:rPr>
          <w:t xml:space="preserve"> </w:t>
        </w:r>
        <w:r>
          <w:rPr>
            <w:rStyle w:val="Footnote1"/>
            <w:u w:val="single"/>
          </w:rPr>
          <w:t>https://www.e-control.at/international/energy-community</w:t>
        </w:r>
        <w:bookmarkEnd w:id="249"/>
      </w:hyperlink>
      <w:r>
        <w:t xml:space="preserve"> (на английски)</w:t>
      </w:r>
    </w:p>
  </w:footnote>
  <w:footnote w:id="70">
    <w:p w:rsidR="001A38FE" w:rsidRDefault="001A38FE" w:rsidP="007906A8">
      <w:pPr>
        <w:pStyle w:val="Footnote10"/>
      </w:pPr>
      <w:bookmarkStart w:id="259" w:name="bookmark76"/>
      <w:r>
        <w:rPr>
          <w:rStyle w:val="Footnote1"/>
          <w:rFonts w:ascii="Arial" w:eastAsia="Arial" w:hAnsi="Arial" w:cs="Arial"/>
          <w:sz w:val="10"/>
          <w:szCs w:val="10"/>
        </w:rPr>
        <w:footnoteRef/>
      </w:r>
      <w:hyperlink r:id="rId71" w:history="1">
        <w:r>
          <w:rPr>
            <w:rStyle w:val="Footnote1"/>
            <w:rFonts w:ascii="Arial" w:eastAsia="Arial" w:hAnsi="Arial" w:cs="Arial"/>
            <w:sz w:val="10"/>
            <w:szCs w:val="10"/>
          </w:rPr>
          <w:t xml:space="preserve"> </w:t>
        </w:r>
        <w:r>
          <w:rPr>
            <w:rStyle w:val="Footnote1"/>
            <w:u w:val="single"/>
          </w:rPr>
          <w:t>Пътна карта за политика и правна рамка за енергийните общности</w:t>
        </w:r>
        <w:r>
          <w:rPr>
            <w:rStyle w:val="Footnote1"/>
          </w:rPr>
          <w:t xml:space="preserve"> </w:t>
        </w:r>
      </w:hyperlink>
      <w:r>
        <w:rPr>
          <w:rStyle w:val="Footnote1"/>
        </w:rPr>
        <w:t>(2024 г.), Генерална дирекция „Енергетика“, Хранилище на Енергийната общност.</w:t>
      </w:r>
      <w:bookmarkEnd w:id="259"/>
    </w:p>
  </w:footnote>
  <w:footnote w:id="71">
    <w:p w:rsidR="001A38FE" w:rsidRDefault="001A38FE" w:rsidP="00FA7995">
      <w:pPr>
        <w:pStyle w:val="Footnote10"/>
        <w:rPr>
          <w:sz w:val="20"/>
          <w:szCs w:val="20"/>
        </w:rPr>
      </w:pPr>
      <w:bookmarkStart w:id="296" w:name="bookmark77"/>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hyperlink r:id="rId72" w:history="1">
        <w:r>
          <w:rPr>
            <w:rStyle w:val="Footnote1"/>
            <w:sz w:val="20"/>
            <w:szCs w:val="20"/>
          </w:rPr>
          <w:t>https://energiegemeinschaften.gv.at/kontakt-beratung/</w:t>
        </w:r>
        <w:bookmarkEnd w:id="296"/>
      </w:hyperlink>
    </w:p>
  </w:footnote>
  <w:footnote w:id="72">
    <w:p w:rsidR="001A38FE" w:rsidRDefault="001A38FE" w:rsidP="007906A8">
      <w:pPr>
        <w:pStyle w:val="Footnote10"/>
        <w:rPr>
          <w:sz w:val="20"/>
          <w:szCs w:val="20"/>
        </w:rPr>
      </w:pPr>
      <w:r>
        <w:rPr>
          <w:rStyle w:val="Footnote1"/>
          <w:rFonts w:ascii="Arial" w:eastAsia="Arial" w:hAnsi="Arial" w:cs="Arial"/>
          <w:sz w:val="13"/>
          <w:szCs w:val="13"/>
        </w:rPr>
        <w:footnoteRef/>
      </w:r>
      <w:hyperlink r:id="rId73" w:history="1">
        <w:r>
          <w:rPr>
            <w:rStyle w:val="Footnote1"/>
            <w:rFonts w:ascii="Arial" w:eastAsia="Arial" w:hAnsi="Arial" w:cs="Arial"/>
            <w:sz w:val="13"/>
            <w:szCs w:val="13"/>
          </w:rPr>
          <w:t xml:space="preserve"> </w:t>
        </w:r>
        <w:r>
          <w:rPr>
            <w:rStyle w:val="Footnote1"/>
            <w:sz w:val="20"/>
            <w:szCs w:val="20"/>
            <w:u w:val="single"/>
          </w:rPr>
          <w:t>https://energiegemeinschaften.gv.at/kontaktdaten-einreichen/</w:t>
        </w:r>
      </w:hyperlink>
    </w:p>
  </w:footnote>
  <w:footnote w:id="73">
    <w:p w:rsidR="001A38FE" w:rsidRDefault="001A38FE" w:rsidP="007906A8">
      <w:pPr>
        <w:pStyle w:val="Footnote10"/>
        <w:rPr>
          <w:sz w:val="20"/>
          <w:szCs w:val="20"/>
        </w:rPr>
      </w:pPr>
      <w:bookmarkStart w:id="297" w:name="bookmark79"/>
      <w:r>
        <w:rPr>
          <w:rStyle w:val="Footnote1"/>
          <w:rFonts w:ascii="Times New Roman" w:eastAsia="Times New Roman" w:hAnsi="Times New Roman" w:cs="Times New Roman"/>
          <w:b/>
          <w:bCs/>
          <w:sz w:val="12"/>
          <w:szCs w:val="12"/>
        </w:rPr>
        <w:footnoteRef/>
      </w:r>
      <w:hyperlink r:id="rId74"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https://cler.org/adherer-2/</w:t>
        </w:r>
        <w:bookmarkEnd w:id="297"/>
      </w:hyperlink>
    </w:p>
  </w:footnote>
  <w:footnote w:id="74">
    <w:p w:rsidR="001A38FE" w:rsidRDefault="001A38FE" w:rsidP="007906A8">
      <w:pPr>
        <w:pStyle w:val="Footnote10"/>
        <w:rPr>
          <w:sz w:val="20"/>
          <w:szCs w:val="20"/>
        </w:rPr>
      </w:pPr>
      <w:bookmarkStart w:id="298" w:name="bookmark80"/>
      <w:r>
        <w:rPr>
          <w:rStyle w:val="Footnote1"/>
          <w:rFonts w:ascii="Times New Roman" w:eastAsia="Times New Roman" w:hAnsi="Times New Roman" w:cs="Times New Roman"/>
          <w:b/>
          <w:bCs/>
          <w:sz w:val="12"/>
          <w:szCs w:val="12"/>
        </w:rPr>
        <w:footnoteRef/>
      </w:r>
      <w:hyperlink r:id="rId75"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https://www.energiacomun.org/adhesion/</w:t>
        </w:r>
        <w:bookmarkEnd w:id="298"/>
      </w:hyperlink>
    </w:p>
  </w:footnote>
  <w:footnote w:id="75">
    <w:p w:rsidR="001A38FE" w:rsidRDefault="001A38FE" w:rsidP="007906A8">
      <w:pPr>
        <w:pStyle w:val="Footnote10"/>
        <w:rPr>
          <w:sz w:val="20"/>
          <w:szCs w:val="20"/>
        </w:rPr>
      </w:pPr>
      <w:bookmarkStart w:id="302" w:name="bookmark81"/>
      <w:r>
        <w:rPr>
          <w:rStyle w:val="Footnote1"/>
          <w:sz w:val="20"/>
          <w:szCs w:val="20"/>
        </w:rPr>
        <w:footnoteRef/>
      </w:r>
      <w:hyperlink r:id="rId76" w:history="1">
        <w:r>
          <w:rPr>
            <w:rStyle w:val="Footnote1"/>
            <w:sz w:val="20"/>
            <w:szCs w:val="20"/>
          </w:rPr>
          <w:t xml:space="preserve"> </w:t>
        </w:r>
        <w:r>
          <w:rPr>
            <w:rStyle w:val="Footnote1"/>
            <w:sz w:val="20"/>
            <w:szCs w:val="20"/>
            <w:u w:val="single"/>
          </w:rPr>
          <w:t>https://www.energiacomun.org/comunidades/comunidad-energetica-renovable-valdeajos/</w:t>
        </w:r>
        <w:bookmarkEnd w:id="302"/>
      </w:hyperlink>
    </w:p>
  </w:footnote>
  <w:footnote w:id="76">
    <w:p w:rsidR="001A38FE" w:rsidRDefault="001A38FE" w:rsidP="007906A8">
      <w:pPr>
        <w:pStyle w:val="Footnote10"/>
      </w:pPr>
      <w:bookmarkStart w:id="307" w:name="bookmark82"/>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77" w:history="1">
        <w:r>
          <w:rPr>
            <w:rStyle w:val="Footnote1"/>
          </w:rPr>
          <w:t>https://energiegemeinschaften.gv.at/landkarte/</w:t>
        </w:r>
        <w:bookmarkEnd w:id="307"/>
      </w:hyperlink>
    </w:p>
  </w:footnote>
  <w:footnote w:id="77">
    <w:p w:rsidR="001A38FE" w:rsidRDefault="001A38FE" w:rsidP="007906A8">
      <w:pPr>
        <w:pStyle w:val="Footnote10"/>
      </w:pPr>
      <w:bookmarkStart w:id="308" w:name="bookmark83"/>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chrome-extension://efaidnbmnnnibpcajpcglclefindmkaj/</w:t>
      </w:r>
      <w:hyperlink r:id="rId78" w:history="1">
        <w:r>
          <w:rPr>
            <w:rStyle w:val="Footnote1"/>
          </w:rPr>
          <w:t>https://euipo.europa.eu/tunnel-</w:t>
        </w:r>
        <w:bookmarkEnd w:id="308"/>
      </w:hyperlink>
    </w:p>
    <w:p w:rsidR="001A38FE" w:rsidRDefault="001A38FE" w:rsidP="007906A8">
      <w:pPr>
        <w:pStyle w:val="Footnote10"/>
      </w:pPr>
      <w:r>
        <w:rPr>
          <w:rStyle w:val="Footnote1"/>
        </w:rPr>
        <w:t>web/secure/webdav/guest/document_library/observatory/documents/reports/2020_Open_Source_software/2020_OSS_F ull_EN.pdf</w:t>
      </w:r>
    </w:p>
  </w:footnote>
  <w:footnote w:id="78">
    <w:p w:rsidR="001A38FE" w:rsidRDefault="001A38FE" w:rsidP="007906A8">
      <w:pPr>
        <w:pStyle w:val="Footnote10"/>
      </w:pPr>
      <w:bookmarkStart w:id="309" w:name="bookmark84"/>
      <w:r>
        <w:rPr>
          <w:rStyle w:val="Footnote1"/>
          <w:rFonts w:ascii="Arial" w:eastAsia="Arial" w:hAnsi="Arial" w:cs="Arial"/>
          <w:sz w:val="10"/>
          <w:szCs w:val="10"/>
        </w:rPr>
        <w:footnoteRef/>
      </w:r>
      <w:hyperlink r:id="rId79" w:history="1">
        <w:r>
          <w:rPr>
            <w:rStyle w:val="Footnote1"/>
            <w:rFonts w:ascii="Arial" w:eastAsia="Arial" w:hAnsi="Arial" w:cs="Arial"/>
            <w:sz w:val="10"/>
            <w:szCs w:val="10"/>
          </w:rPr>
          <w:t xml:space="preserve"> </w:t>
        </w:r>
        <w:r>
          <w:rPr>
            <w:rStyle w:val="Footnote1"/>
            <w:u w:val="single"/>
          </w:rPr>
          <w:t>https://interoperable-europe.ec.europa.eu/sites/default/files/inline-</w:t>
        </w:r>
        <w:bookmarkEnd w:id="309"/>
      </w:hyperlink>
    </w:p>
    <w:p w:rsidR="001A38FE" w:rsidRDefault="00567EA3" w:rsidP="007906A8">
      <w:pPr>
        <w:pStyle w:val="Footnote10"/>
      </w:pPr>
      <w:hyperlink r:id="rId80" w:history="1">
        <w:r w:rsidR="001A38FE">
          <w:rPr>
            <w:rStyle w:val="Footnote1"/>
            <w:u w:val="single"/>
          </w:rPr>
          <w:t>файлове/OSS% 20Държава% 20Разузнаване% 20Доклад_NO_0.pdf</w:t>
        </w:r>
      </w:hyperlink>
    </w:p>
  </w:footnote>
  <w:footnote w:id="79">
    <w:p w:rsidR="001A38FE" w:rsidRDefault="001A38FE" w:rsidP="007906A8">
      <w:pPr>
        <w:pStyle w:val="Footnote10"/>
      </w:pPr>
      <w:bookmarkStart w:id="310" w:name="bookmark85"/>
      <w:r>
        <w:rPr>
          <w:rStyle w:val="Footnote1"/>
          <w:rFonts w:ascii="Arial" w:eastAsia="Arial" w:hAnsi="Arial" w:cs="Arial"/>
          <w:sz w:val="10"/>
          <w:szCs w:val="10"/>
        </w:rPr>
        <w:footnoteRef/>
      </w:r>
      <w:hyperlink r:id="rId81" w:history="1">
        <w:r>
          <w:rPr>
            <w:rStyle w:val="Footnote1"/>
            <w:rFonts w:ascii="Arial" w:eastAsia="Arial" w:hAnsi="Arial" w:cs="Arial"/>
            <w:sz w:val="10"/>
            <w:szCs w:val="10"/>
          </w:rPr>
          <w:t xml:space="preserve"> </w:t>
        </w:r>
        <w:r>
          <w:rPr>
            <w:rStyle w:val="Footnote1"/>
            <w:u w:val="single"/>
          </w:rPr>
          <w:t>https://interoperable-europe.ec.europa.eu/sites/default/files/inline-</w:t>
        </w:r>
        <w:bookmarkEnd w:id="310"/>
      </w:hyperlink>
    </w:p>
    <w:p w:rsidR="001A38FE" w:rsidRDefault="00567EA3" w:rsidP="007906A8">
      <w:pPr>
        <w:pStyle w:val="Footnote10"/>
      </w:pPr>
      <w:hyperlink r:id="rId82" w:history="1">
        <w:r w:rsidR="001A38FE">
          <w:rPr>
            <w:rStyle w:val="Footnote1"/>
            <w:u w:val="single"/>
          </w:rPr>
          <w:t>файлове/OSS% 20Държава% 20Разузнаване% 20Фактологична справка_NO_0.pdf</w:t>
        </w:r>
      </w:hyperlink>
    </w:p>
  </w:footnote>
  <w:footnote w:id="80">
    <w:p w:rsidR="001A38FE" w:rsidRDefault="001A38FE" w:rsidP="007906A8">
      <w:pPr>
        <w:pStyle w:val="Footnote10"/>
      </w:pPr>
      <w:bookmarkStart w:id="311" w:name="bookmark86"/>
      <w:r>
        <w:rPr>
          <w:rStyle w:val="Footnote1"/>
          <w:rFonts w:ascii="Arial" w:eastAsia="Arial" w:hAnsi="Arial" w:cs="Arial"/>
          <w:sz w:val="10"/>
          <w:szCs w:val="10"/>
        </w:rPr>
        <w:footnoteRef/>
      </w:r>
      <w:r>
        <w:rPr>
          <w:rStyle w:val="Footnote1"/>
          <w:rFonts w:ascii="Arial" w:eastAsia="Arial" w:hAnsi="Arial" w:cs="Arial"/>
          <w:sz w:val="10"/>
          <w:szCs w:val="10"/>
        </w:rPr>
        <w:t xml:space="preserve"> </w:t>
      </w:r>
      <w:r>
        <w:rPr>
          <w:rStyle w:val="Footnote1"/>
        </w:rPr>
        <w:t>CMS се отнася до компютърен софтуер, използван за управление на създаването и модифицирането на цифрово съдържание.</w:t>
      </w:r>
      <w:bookmarkEnd w:id="311"/>
    </w:p>
  </w:footnote>
  <w:footnote w:id="81">
    <w:p w:rsidR="001A38FE" w:rsidRDefault="001A38FE" w:rsidP="007906A8">
      <w:pPr>
        <w:pStyle w:val="Footnote10"/>
      </w:pPr>
      <w:bookmarkStart w:id="312" w:name="bookmark87"/>
      <w:r>
        <w:rPr>
          <w:rStyle w:val="Footnote1"/>
          <w:rFonts w:ascii="Arial" w:eastAsia="Arial" w:hAnsi="Arial" w:cs="Arial"/>
          <w:sz w:val="10"/>
          <w:szCs w:val="10"/>
        </w:rPr>
        <w:footnoteRef/>
      </w:r>
      <w:hyperlink r:id="rId83" w:history="1">
        <w:r>
          <w:rPr>
            <w:rStyle w:val="Footnote1"/>
            <w:rFonts w:ascii="Arial" w:eastAsia="Arial" w:hAnsi="Arial" w:cs="Arial"/>
            <w:sz w:val="10"/>
            <w:szCs w:val="10"/>
          </w:rPr>
          <w:t xml:space="preserve"> </w:t>
        </w:r>
        <w:r>
          <w:rPr>
            <w:rStyle w:val="Footnote1"/>
            <w:u w:val="single"/>
          </w:rPr>
          <w:t>https://energycommunityplatform.eu,</w:t>
        </w:r>
        <w:bookmarkEnd w:id="312"/>
      </w:hyperlink>
    </w:p>
  </w:footnote>
  <w:footnote w:id="82">
    <w:p w:rsidR="001A38FE" w:rsidRDefault="001A38FE" w:rsidP="007906A8">
      <w:pPr>
        <w:pStyle w:val="Footnote10"/>
      </w:pPr>
      <w:bookmarkStart w:id="313" w:name="bookmark88"/>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84" w:history="1">
        <w:r>
          <w:rPr>
            <w:rStyle w:val="Footnote1"/>
          </w:rPr>
          <w:t>https://energiegemeinschaften.gv.at/</w:t>
        </w:r>
        <w:bookmarkEnd w:id="313"/>
      </w:hyperlink>
    </w:p>
  </w:footnote>
  <w:footnote w:id="83">
    <w:p w:rsidR="001A38FE" w:rsidRDefault="001A38FE" w:rsidP="007906A8">
      <w:pPr>
        <w:pStyle w:val="Footnote10"/>
      </w:pPr>
      <w:bookmarkStart w:id="314" w:name="bookmark89"/>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85" w:history="1">
        <w:r>
          <w:rPr>
            <w:rStyle w:val="Footnote1"/>
          </w:rPr>
          <w:t>https://cler.org/</w:t>
        </w:r>
        <w:bookmarkEnd w:id="314"/>
      </w:hyperlink>
    </w:p>
  </w:footnote>
  <w:footnote w:id="84">
    <w:p w:rsidR="001A38FE" w:rsidRDefault="001A38FE" w:rsidP="007906A8">
      <w:pPr>
        <w:pStyle w:val="Footnote10"/>
        <w:pBdr>
          <w:top w:val="single" w:sz="4" w:space="0" w:color="auto"/>
        </w:pBdr>
      </w:pPr>
      <w:bookmarkStart w:id="315" w:name="bookmark90"/>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86" w:history="1">
        <w:r>
          <w:rPr>
            <w:rStyle w:val="Footnote1"/>
          </w:rPr>
          <w:t>https://wordpress.org/download/</w:t>
        </w:r>
        <w:bookmarkEnd w:id="315"/>
      </w:hyperlink>
    </w:p>
  </w:footnote>
  <w:footnote w:id="85">
    <w:p w:rsidR="001A38FE" w:rsidRDefault="001A38FE" w:rsidP="007906A8">
      <w:pPr>
        <w:pStyle w:val="Footnote10"/>
      </w:pPr>
      <w:bookmarkStart w:id="316" w:name="bookmark91"/>
      <w:r>
        <w:rPr>
          <w:rStyle w:val="Footnote1"/>
          <w:rFonts w:ascii="Arial" w:eastAsia="Arial" w:hAnsi="Arial" w:cs="Arial"/>
          <w:sz w:val="10"/>
          <w:szCs w:val="10"/>
        </w:rPr>
        <w:footnoteRef/>
      </w:r>
      <w:hyperlink r:id="rId87" w:history="1">
        <w:r>
          <w:rPr>
            <w:rStyle w:val="Footnote1"/>
            <w:rFonts w:ascii="Arial" w:eastAsia="Arial" w:hAnsi="Arial" w:cs="Arial"/>
            <w:sz w:val="10"/>
            <w:szCs w:val="10"/>
          </w:rPr>
          <w:t xml:space="preserve"> </w:t>
        </w:r>
        <w:r>
          <w:rPr>
            <w:rStyle w:val="Footnote1"/>
            <w:u w:val="single"/>
          </w:rPr>
          <w:t>https://www.drupal.org/project/drupal</w:t>
        </w:r>
        <w:bookmarkEnd w:id="316"/>
      </w:hyperlink>
    </w:p>
  </w:footnote>
  <w:footnote w:id="86">
    <w:p w:rsidR="001A38FE" w:rsidRDefault="001A38FE" w:rsidP="007906A8">
      <w:pPr>
        <w:pStyle w:val="Footnote10"/>
      </w:pPr>
      <w:bookmarkStart w:id="317" w:name="bookmark92"/>
      <w:r>
        <w:rPr>
          <w:rStyle w:val="Footnote1"/>
          <w:rFonts w:ascii="Arial" w:eastAsia="Arial" w:hAnsi="Arial" w:cs="Arial"/>
          <w:sz w:val="10"/>
          <w:szCs w:val="10"/>
        </w:rPr>
        <w:footnoteRef/>
      </w:r>
      <w:hyperlink r:id="rId88" w:history="1">
        <w:r>
          <w:rPr>
            <w:rStyle w:val="Footnote1"/>
            <w:rFonts w:ascii="Arial" w:eastAsia="Arial" w:hAnsi="Arial" w:cs="Arial"/>
            <w:sz w:val="10"/>
            <w:szCs w:val="10"/>
          </w:rPr>
          <w:t xml:space="preserve"> </w:t>
        </w:r>
        <w:r>
          <w:rPr>
            <w:rStyle w:val="Footnote1"/>
            <w:u w:val="single"/>
          </w:rPr>
          <w:t>https://get.typo3.org/</w:t>
        </w:r>
        <w:bookmarkEnd w:id="317"/>
      </w:hyperlink>
    </w:p>
  </w:footnote>
  <w:footnote w:id="87">
    <w:p w:rsidR="001A38FE" w:rsidRDefault="001A38FE" w:rsidP="007906A8">
      <w:pPr>
        <w:pStyle w:val="Footnote10"/>
        <w:rPr>
          <w:sz w:val="20"/>
          <w:szCs w:val="20"/>
        </w:rPr>
      </w:pPr>
      <w:bookmarkStart w:id="323" w:name="bookmark93"/>
      <w:r>
        <w:rPr>
          <w:rStyle w:val="Footnote1"/>
          <w:rFonts w:ascii="Times New Roman" w:eastAsia="Times New Roman" w:hAnsi="Times New Roman" w:cs="Times New Roman"/>
          <w:b/>
          <w:bCs/>
          <w:sz w:val="12"/>
          <w:szCs w:val="12"/>
        </w:rPr>
        <w:footnoteRef/>
      </w:r>
      <w:hyperlink r:id="rId89" w:history="1">
        <w:r>
          <w:rPr>
            <w:rStyle w:val="Footnote1"/>
            <w:rFonts w:ascii="Times New Roman" w:eastAsia="Times New Roman" w:hAnsi="Times New Roman" w:cs="Times New Roman"/>
            <w:b/>
            <w:bCs/>
            <w:sz w:val="12"/>
            <w:szCs w:val="12"/>
          </w:rPr>
          <w:t xml:space="preserve"> </w:t>
        </w:r>
        <w:r>
          <w:rPr>
            <w:rStyle w:val="Footnote1"/>
            <w:sz w:val="20"/>
            <w:szCs w:val="20"/>
            <w:u w:val="single"/>
          </w:rPr>
          <w:t>http://novsait.eu/sites/default/files/Politika_za_lichni_Danni_Nov_sait_EOOD.pdf</w:t>
        </w:r>
        <w:bookmarkEnd w:id="323"/>
      </w:hyperlink>
    </w:p>
  </w:footnote>
  <w:footnote w:id="88">
    <w:p w:rsidR="001A38FE" w:rsidRDefault="001A38FE" w:rsidP="007906A8">
      <w:pPr>
        <w:pStyle w:val="Footnote10"/>
        <w:pBdr>
          <w:top w:val="single" w:sz="4" w:space="0" w:color="auto"/>
        </w:pBdr>
        <w:rPr>
          <w:sz w:val="20"/>
          <w:szCs w:val="20"/>
        </w:rPr>
      </w:pPr>
      <w:bookmarkStart w:id="325" w:name="bookmark94"/>
      <w:r>
        <w:rPr>
          <w:rStyle w:val="Footnote1"/>
          <w:sz w:val="20"/>
          <w:szCs w:val="20"/>
        </w:rPr>
        <w:footnoteRef/>
      </w:r>
      <w:hyperlink r:id="rId90" w:history="1">
        <w:r>
          <w:rPr>
            <w:rStyle w:val="Footnote1"/>
            <w:sz w:val="20"/>
            <w:szCs w:val="20"/>
          </w:rPr>
          <w:t xml:space="preserve"> https://keepass.info/</w:t>
        </w:r>
        <w:bookmarkEnd w:id="325"/>
      </w:hyperlink>
    </w:p>
  </w:footnote>
  <w:footnote w:id="89">
    <w:p w:rsidR="001A38FE" w:rsidRDefault="001A38FE" w:rsidP="007906A8">
      <w:pPr>
        <w:pStyle w:val="Footnote10"/>
        <w:rPr>
          <w:sz w:val="20"/>
          <w:szCs w:val="20"/>
        </w:rPr>
      </w:pPr>
      <w:bookmarkStart w:id="327" w:name="bookmark95"/>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hyperlink r:id="rId91" w:history="1">
        <w:r>
          <w:rPr>
            <w:rStyle w:val="Footnote1"/>
            <w:sz w:val="20"/>
            <w:szCs w:val="20"/>
          </w:rPr>
          <w:t>https://www.debian.org/</w:t>
        </w:r>
        <w:bookmarkEnd w:id="327"/>
      </w:hyperlink>
    </w:p>
  </w:footnote>
  <w:footnote w:id="90">
    <w:p w:rsidR="001A38FE" w:rsidRDefault="001A38FE" w:rsidP="007906A8">
      <w:pPr>
        <w:pStyle w:val="Footnote10"/>
        <w:rPr>
          <w:sz w:val="20"/>
          <w:szCs w:val="20"/>
        </w:rPr>
      </w:pPr>
      <w:r>
        <w:rPr>
          <w:rStyle w:val="Footnote1"/>
          <w:rFonts w:ascii="Times New Roman" w:eastAsia="Times New Roman" w:hAnsi="Times New Roman" w:cs="Times New Roman"/>
          <w:b/>
          <w:bCs/>
          <w:sz w:val="12"/>
          <w:szCs w:val="12"/>
        </w:rPr>
        <w:footnoteRef/>
      </w:r>
      <w:hyperlink r:id="rId92"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https://www.linode.com/docs/guides/control-network-traffic-with-iptables/</w:t>
        </w:r>
      </w:hyperlink>
    </w:p>
  </w:footnote>
  <w:footnote w:id="91">
    <w:p w:rsidR="001A38FE" w:rsidRDefault="001A38FE" w:rsidP="007906A8">
      <w:pPr>
        <w:pStyle w:val="Footnote10"/>
        <w:rPr>
          <w:sz w:val="20"/>
          <w:szCs w:val="20"/>
        </w:rPr>
      </w:pPr>
      <w:bookmarkStart w:id="330" w:name="bookmark97"/>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hyperlink r:id="rId93" w:history="1">
        <w:r>
          <w:rPr>
            <w:rStyle w:val="Footnote1"/>
            <w:sz w:val="20"/>
            <w:szCs w:val="20"/>
          </w:rPr>
          <w:t>https://www.linode.com/docs/guides/how-to-configure-http-2-on-apache/</w:t>
        </w:r>
        <w:bookmarkEnd w:id="330"/>
      </w:hyperlink>
    </w:p>
  </w:footnote>
  <w:footnote w:id="92">
    <w:p w:rsidR="001A38FE" w:rsidRDefault="001A38FE" w:rsidP="007906A8">
      <w:pPr>
        <w:pStyle w:val="Footnote10"/>
        <w:rPr>
          <w:sz w:val="20"/>
          <w:szCs w:val="20"/>
        </w:rPr>
      </w:pPr>
      <w:bookmarkStart w:id="331" w:name="bookmark98"/>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hyperlink r:id="rId94" w:history="1">
        <w:r>
          <w:rPr>
            <w:rStyle w:val="Footnote1"/>
            <w:sz w:val="20"/>
            <w:szCs w:val="20"/>
          </w:rPr>
          <w:t>https://letsencrypt.org/</w:t>
        </w:r>
        <w:bookmarkEnd w:id="331"/>
      </w:hyperlink>
    </w:p>
  </w:footnote>
  <w:footnote w:id="93">
    <w:p w:rsidR="001A38FE" w:rsidRDefault="001A38FE" w:rsidP="007906A8">
      <w:pPr>
        <w:pStyle w:val="Footnote10"/>
        <w:rPr>
          <w:sz w:val="20"/>
          <w:szCs w:val="20"/>
        </w:rPr>
      </w:pPr>
      <w:bookmarkStart w:id="333" w:name="bookmark99"/>
      <w:r>
        <w:rPr>
          <w:rStyle w:val="Footnote1"/>
          <w:rFonts w:ascii="Times New Roman" w:eastAsia="Times New Roman" w:hAnsi="Times New Roman" w:cs="Times New Roman"/>
          <w:b/>
          <w:bCs/>
          <w:sz w:val="12"/>
          <w:szCs w:val="12"/>
        </w:rPr>
        <w:footnoteRef/>
      </w:r>
      <w:hyperlink r:id="rId95"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https://wiki.debian.org/UnattendedUpgrades</w:t>
        </w:r>
        <w:bookmarkEnd w:id="333"/>
      </w:hyperlink>
      <w:r>
        <w:t xml:space="preserve"> (на английски)</w:t>
      </w:r>
    </w:p>
  </w:footnote>
  <w:footnote w:id="94">
    <w:p w:rsidR="001A38FE" w:rsidRDefault="001A38FE" w:rsidP="007906A8">
      <w:pPr>
        <w:pStyle w:val="Footnote10"/>
        <w:rPr>
          <w:sz w:val="20"/>
          <w:szCs w:val="20"/>
        </w:rPr>
      </w:pPr>
      <w:bookmarkStart w:id="334" w:name="bookmark100"/>
      <w:r>
        <w:rPr>
          <w:rStyle w:val="Footnote1"/>
          <w:rFonts w:ascii="Times New Roman" w:eastAsia="Times New Roman" w:hAnsi="Times New Roman" w:cs="Times New Roman"/>
          <w:b/>
          <w:bCs/>
          <w:sz w:val="12"/>
          <w:szCs w:val="12"/>
        </w:rPr>
        <w:footnoteRef/>
      </w:r>
      <w:hyperlink r:id="rId96"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https://manpages.debian.org/unstable/apticron/apticron.1.en.html</w:t>
        </w:r>
        <w:bookmarkEnd w:id="334"/>
      </w:hyperlink>
      <w:r>
        <w:t xml:space="preserve"> (на английски)</w:t>
      </w:r>
    </w:p>
  </w:footnote>
  <w:footnote w:id="95">
    <w:p w:rsidR="001A38FE" w:rsidRDefault="001A38FE" w:rsidP="007906A8">
      <w:pPr>
        <w:pStyle w:val="Footnote10"/>
        <w:rPr>
          <w:sz w:val="20"/>
          <w:szCs w:val="20"/>
        </w:rPr>
      </w:pPr>
      <w:bookmarkStart w:id="336" w:name="bookmark101"/>
      <w:bookmarkStart w:id="337" w:name="bookmark102"/>
      <w:r>
        <w:rPr>
          <w:rStyle w:val="Footnote1"/>
          <w:rFonts w:ascii="Times New Roman" w:eastAsia="Times New Roman" w:hAnsi="Times New Roman" w:cs="Times New Roman"/>
          <w:b/>
          <w:bCs/>
          <w:sz w:val="12"/>
          <w:szCs w:val="12"/>
          <w:vertAlign w:val="superscript"/>
        </w:rPr>
        <w:t>107</w:t>
      </w:r>
      <w:r>
        <w:rPr>
          <w:rStyle w:val="Footnote1"/>
          <w:rFonts w:ascii="Times New Roman" w:eastAsia="Times New Roman" w:hAnsi="Times New Roman" w:cs="Times New Roman"/>
          <w:b/>
          <w:bCs/>
          <w:sz w:val="12"/>
          <w:szCs w:val="12"/>
        </w:rPr>
        <w:t xml:space="preserve"> </w:t>
      </w:r>
      <w:hyperlink r:id="rId97" w:history="1">
        <w:r>
          <w:rPr>
            <w:rStyle w:val="Footnote1"/>
            <w:sz w:val="20"/>
            <w:szCs w:val="20"/>
          </w:rPr>
          <w:t>https://github.com/fail2ban/fail2ban</w:t>
        </w:r>
        <w:bookmarkEnd w:id="336"/>
        <w:bookmarkEnd w:id="337"/>
      </w:hyperlink>
    </w:p>
  </w:footnote>
  <w:footnote w:id="96">
    <w:p w:rsidR="001A38FE" w:rsidRDefault="001A38FE" w:rsidP="007906A8">
      <w:pPr>
        <w:pStyle w:val="Footnote10"/>
        <w:rPr>
          <w:sz w:val="20"/>
          <w:szCs w:val="20"/>
        </w:rPr>
      </w:pPr>
      <w:r>
        <w:rPr>
          <w:rStyle w:val="Footnote1"/>
          <w:rFonts w:ascii="Times New Roman" w:eastAsia="Times New Roman" w:hAnsi="Times New Roman" w:cs="Times New Roman"/>
          <w:b/>
          <w:bCs/>
          <w:sz w:val="12"/>
          <w:szCs w:val="12"/>
        </w:rPr>
        <w:footnoteRef/>
      </w:r>
      <w:hyperlink r:id="rId98"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https://www.ossec.net/</w:t>
        </w:r>
      </w:hyperlink>
    </w:p>
  </w:footnote>
  <w:footnote w:id="97">
    <w:p w:rsidR="001A38FE" w:rsidRDefault="001A38FE" w:rsidP="007906A8">
      <w:pPr>
        <w:pStyle w:val="Footnote10"/>
        <w:rPr>
          <w:sz w:val="20"/>
          <w:szCs w:val="20"/>
        </w:rPr>
      </w:pPr>
      <w:r>
        <w:rPr>
          <w:rStyle w:val="Footnote1"/>
          <w:rFonts w:ascii="Times New Roman" w:eastAsia="Times New Roman" w:hAnsi="Times New Roman" w:cs="Times New Roman"/>
          <w:b/>
          <w:bCs/>
          <w:sz w:val="12"/>
          <w:szCs w:val="12"/>
        </w:rPr>
        <w:footnoteRef/>
      </w:r>
      <w:hyperlink r:id="rId99" w:history="1">
        <w:r>
          <w:rPr>
            <w:rStyle w:val="Footnote1"/>
            <w:rFonts w:ascii="Times New Roman" w:eastAsia="Times New Roman" w:hAnsi="Times New Roman" w:cs="Times New Roman"/>
            <w:b/>
            <w:bCs/>
            <w:sz w:val="12"/>
            <w:szCs w:val="12"/>
          </w:rPr>
          <w:t xml:space="preserve"> </w:t>
        </w:r>
        <w:r>
          <w:rPr>
            <w:rStyle w:val="Footnote1"/>
            <w:sz w:val="20"/>
            <w:szCs w:val="20"/>
            <w:u w:val="single"/>
          </w:rPr>
          <w:t>https://www.clamav.net/</w:t>
        </w:r>
      </w:hyperlink>
    </w:p>
  </w:footnote>
  <w:footnote w:id="98">
    <w:p w:rsidR="001A38FE" w:rsidRDefault="001A38FE" w:rsidP="007906A8">
      <w:pPr>
        <w:pStyle w:val="Footnote10"/>
        <w:pBdr>
          <w:top w:val="single" w:sz="4" w:space="0" w:color="auto"/>
        </w:pBdr>
      </w:pPr>
      <w:bookmarkStart w:id="344" w:name="bookmark105"/>
      <w:r>
        <w:rPr>
          <w:rStyle w:val="Footnote1"/>
          <w:rFonts w:ascii="Arial" w:eastAsia="Arial" w:hAnsi="Arial" w:cs="Arial"/>
          <w:sz w:val="10"/>
          <w:szCs w:val="10"/>
        </w:rPr>
        <w:footnoteRef/>
      </w:r>
      <w:hyperlink r:id="rId100" w:history="1">
        <w:r>
          <w:rPr>
            <w:rStyle w:val="Footnote1"/>
            <w:rFonts w:ascii="Arial" w:eastAsia="Arial" w:hAnsi="Arial" w:cs="Arial"/>
            <w:sz w:val="10"/>
            <w:szCs w:val="10"/>
          </w:rPr>
          <w:t xml:space="preserve"> </w:t>
        </w:r>
        <w:r>
          <w:rPr>
            <w:rStyle w:val="Footnote1"/>
            <w:u w:val="single"/>
          </w:rPr>
          <w:t>https://varnish-cache.org/</w:t>
        </w:r>
        <w:bookmarkEnd w:id="344"/>
      </w:hyperlink>
    </w:p>
  </w:footnote>
  <w:footnote w:id="99">
    <w:p w:rsidR="001A38FE" w:rsidRDefault="001A38FE" w:rsidP="007906A8">
      <w:pPr>
        <w:pStyle w:val="Footnote10"/>
      </w:pPr>
      <w:bookmarkStart w:id="345" w:name="bookmark106"/>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101" w:history="1">
        <w:r>
          <w:rPr>
            <w:rStyle w:val="Footnote1"/>
          </w:rPr>
          <w:t>https://www.varnish-software.com/developers/tutorials/terminate-tls-varnish-hitch/</w:t>
        </w:r>
        <w:bookmarkEnd w:id="345"/>
      </w:hyperlink>
    </w:p>
  </w:footnote>
  <w:footnote w:id="100">
    <w:p w:rsidR="001A38FE" w:rsidRDefault="001A38FE" w:rsidP="007906A8">
      <w:pPr>
        <w:pStyle w:val="Footnote10"/>
      </w:pPr>
      <w:bookmarkStart w:id="346" w:name="bookmark107"/>
      <w:r>
        <w:rPr>
          <w:rStyle w:val="Footnote1"/>
          <w:rFonts w:ascii="Arial" w:eastAsia="Arial" w:hAnsi="Arial" w:cs="Arial"/>
          <w:sz w:val="10"/>
          <w:szCs w:val="10"/>
        </w:rPr>
        <w:footnoteRef/>
      </w:r>
      <w:hyperlink r:id="rId102" w:history="1">
        <w:r>
          <w:rPr>
            <w:rStyle w:val="Footnote1"/>
            <w:rFonts w:ascii="Arial" w:eastAsia="Arial" w:hAnsi="Arial" w:cs="Arial"/>
            <w:sz w:val="10"/>
            <w:szCs w:val="10"/>
          </w:rPr>
          <w:t xml:space="preserve"> </w:t>
        </w:r>
        <w:r>
          <w:rPr>
            <w:rStyle w:val="Footnote1"/>
            <w:u w:val="single"/>
          </w:rPr>
          <w:t>https://memcached.org/</w:t>
        </w:r>
        <w:bookmarkEnd w:id="346"/>
      </w:hyperlink>
    </w:p>
  </w:footnote>
  <w:footnote w:id="101">
    <w:p w:rsidR="001A38FE" w:rsidRPr="0028216B" w:rsidRDefault="001A38FE">
      <w:pPr>
        <w:pStyle w:val="FootnoteText"/>
        <w:rPr>
          <w:sz w:val="18"/>
          <w:szCs w:val="18"/>
        </w:rPr>
      </w:pPr>
      <w:r>
        <w:rPr>
          <w:sz w:val="14"/>
          <w:szCs w:val="14"/>
        </w:rPr>
        <w:t>101</w:t>
      </w:r>
      <w:r w:rsidRPr="00A84C49">
        <w:rPr>
          <w:sz w:val="18"/>
          <w:szCs w:val="18"/>
        </w:rPr>
        <w:t xml:space="preserve"> </w:t>
      </w:r>
      <w:r w:rsidRPr="001A0822">
        <w:rPr>
          <w:sz w:val="18"/>
          <w:szCs w:val="18"/>
        </w:rPr>
        <w:t>https://github.com/redis/redis?tab=readme-ov-file</w:t>
      </w:r>
    </w:p>
  </w:footnote>
  <w:footnote w:id="102">
    <w:p w:rsidR="001A38FE" w:rsidRPr="00A84C49" w:rsidRDefault="001A38FE" w:rsidP="0028216B">
      <w:pPr>
        <w:pStyle w:val="FootnoteText"/>
        <w:rPr>
          <w:sz w:val="18"/>
          <w:szCs w:val="18"/>
        </w:rPr>
      </w:pPr>
      <w:r>
        <w:rPr>
          <w:rStyle w:val="FootnoteReference"/>
        </w:rPr>
        <w:footnoteRef/>
      </w:r>
      <w:r>
        <w:t xml:space="preserve"> </w:t>
      </w:r>
      <w:r w:rsidRPr="001A0822">
        <w:rPr>
          <w:sz w:val="18"/>
          <w:szCs w:val="18"/>
          <w:lang w:val="bg"/>
        </w:rPr>
        <w:t>https://redis.io/</w:t>
      </w:r>
    </w:p>
    <w:p w:rsidR="001A38FE" w:rsidRPr="0028216B" w:rsidRDefault="001A38FE">
      <w:pPr>
        <w:pStyle w:val="FootnoteText"/>
        <w:rPr>
          <w:lang w:val="bg-BG"/>
        </w:rPr>
      </w:pPr>
    </w:p>
  </w:footnote>
  <w:footnote w:id="103">
    <w:p w:rsidR="001A38FE" w:rsidRDefault="001A38FE" w:rsidP="007906A8">
      <w:pPr>
        <w:pStyle w:val="Footnote10"/>
        <w:rPr>
          <w:sz w:val="20"/>
          <w:szCs w:val="20"/>
        </w:rPr>
      </w:pPr>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r>
        <w:rPr>
          <w:rStyle w:val="Footnote1"/>
          <w:sz w:val="20"/>
          <w:szCs w:val="20"/>
        </w:rPr>
        <w:t>Garrett, J. (2010 г.). Елементи на потребителския опит: User-Centered Design for the Web and Beyond (Гласове, които имат значение) Нови ездачи (издател).</w:t>
      </w:r>
    </w:p>
  </w:footnote>
  <w:footnote w:id="104">
    <w:p w:rsidR="001A38FE" w:rsidRDefault="001A38FE" w:rsidP="007906A8">
      <w:pPr>
        <w:pStyle w:val="Footnote10"/>
        <w:spacing w:line="264" w:lineRule="auto"/>
      </w:pPr>
      <w:bookmarkStart w:id="351" w:name="bookmark109"/>
      <w:r>
        <w:rPr>
          <w:rStyle w:val="Footnote1"/>
          <w:rFonts w:ascii="Arial" w:eastAsia="Arial" w:hAnsi="Arial" w:cs="Arial"/>
          <w:sz w:val="10"/>
          <w:szCs w:val="10"/>
        </w:rPr>
        <w:footnoteRef/>
      </w:r>
      <w:hyperlink r:id="rId103" w:history="1">
        <w:r>
          <w:rPr>
            <w:rStyle w:val="Footnote1"/>
            <w:rFonts w:ascii="Arial" w:eastAsia="Arial" w:hAnsi="Arial" w:cs="Arial"/>
            <w:sz w:val="10"/>
            <w:szCs w:val="10"/>
          </w:rPr>
          <w:t xml:space="preserve"> </w:t>
        </w:r>
        <w:r>
          <w:rPr>
            <w:rStyle w:val="Footnote1"/>
            <w:u w:val="single"/>
          </w:rPr>
          <w:t>https://fonts.google.com/specimen/Sofia+Sans/about</w:t>
        </w:r>
        <w:bookmarkEnd w:id="351"/>
      </w:hyperlink>
      <w:r>
        <w:t xml:space="preserve"> (на английски)</w:t>
      </w:r>
    </w:p>
  </w:footnote>
  <w:footnote w:id="105">
    <w:p w:rsidR="001A38FE" w:rsidRDefault="001A38FE" w:rsidP="007906A8">
      <w:pPr>
        <w:pStyle w:val="Footnote10"/>
      </w:pPr>
      <w:bookmarkStart w:id="352" w:name="bookmark110"/>
      <w:r>
        <w:rPr>
          <w:rStyle w:val="Footnote1"/>
          <w:rFonts w:ascii="Arial" w:eastAsia="Arial" w:hAnsi="Arial" w:cs="Arial"/>
          <w:sz w:val="10"/>
          <w:szCs w:val="10"/>
        </w:rPr>
        <w:footnoteRef/>
      </w:r>
      <w:hyperlink r:id="rId104" w:history="1">
        <w:r>
          <w:rPr>
            <w:rStyle w:val="Footnote1"/>
            <w:rFonts w:ascii="Arial" w:eastAsia="Arial" w:hAnsi="Arial" w:cs="Arial"/>
            <w:sz w:val="10"/>
            <w:szCs w:val="10"/>
          </w:rPr>
          <w:t xml:space="preserve"> </w:t>
        </w:r>
        <w:r>
          <w:rPr>
            <w:rStyle w:val="Footnote1"/>
            <w:u w:val="single"/>
          </w:rPr>
          <w:t>https://addons.mozilla.org/en-US/firefox/addon/wcag-contrast-checker/</w:t>
        </w:r>
        <w:bookmarkEnd w:id="352"/>
      </w:hyperlink>
    </w:p>
  </w:footnote>
  <w:footnote w:id="106">
    <w:p w:rsidR="001A38FE" w:rsidRDefault="001A38FE" w:rsidP="007906A8">
      <w:pPr>
        <w:pStyle w:val="Footnote10"/>
        <w:rPr>
          <w:sz w:val="20"/>
          <w:szCs w:val="20"/>
        </w:rPr>
      </w:pPr>
      <w:bookmarkStart w:id="363" w:name="bookmark111"/>
      <w:r w:rsidRPr="00D13962">
        <w:rPr>
          <w:rStyle w:val="Footnote1"/>
        </w:rPr>
        <w:footnoteRef/>
      </w:r>
      <w:hyperlink r:id="rId105" w:history="1">
        <w:r>
          <w:rPr>
            <w:rStyle w:val="Footnote1"/>
            <w:sz w:val="20"/>
            <w:szCs w:val="20"/>
          </w:rPr>
          <w:t xml:space="preserve"> </w:t>
        </w:r>
        <w:r>
          <w:rPr>
            <w:rStyle w:val="Footnote1"/>
            <w:sz w:val="20"/>
            <w:szCs w:val="20"/>
            <w:u w:val="single"/>
          </w:rPr>
          <w:t>https://github.com/loomio/loomio</w:t>
        </w:r>
        <w:bookmarkEnd w:id="363"/>
      </w:hyperlink>
    </w:p>
  </w:footnote>
  <w:footnote w:id="107">
    <w:p w:rsidR="001A38FE" w:rsidRDefault="001A38FE" w:rsidP="007906A8">
      <w:pPr>
        <w:pStyle w:val="Footnote10"/>
      </w:pPr>
      <w:bookmarkStart w:id="364" w:name="bookmark112"/>
      <w:r>
        <w:rPr>
          <w:rStyle w:val="Footnote1"/>
          <w:rFonts w:ascii="Arial" w:eastAsia="Arial" w:hAnsi="Arial" w:cs="Arial"/>
          <w:sz w:val="10"/>
          <w:szCs w:val="10"/>
        </w:rPr>
        <w:footnoteRef/>
      </w:r>
      <w:hyperlink r:id="rId106" w:history="1">
        <w:r>
          <w:rPr>
            <w:rStyle w:val="Footnote1"/>
            <w:rFonts w:ascii="Arial" w:eastAsia="Arial" w:hAnsi="Arial" w:cs="Arial"/>
            <w:sz w:val="10"/>
            <w:szCs w:val="10"/>
          </w:rPr>
          <w:t xml:space="preserve"> </w:t>
        </w:r>
        <w:r>
          <w:rPr>
            <w:rStyle w:val="Footnote1"/>
            <w:u w:val="single"/>
          </w:rPr>
          <w:t>https://github.com/loomio/loomio-deploy</w:t>
        </w:r>
        <w:bookmarkEnd w:id="364"/>
      </w:hyperlink>
      <w:r>
        <w:t xml:space="preserve"> (на английски)</w:t>
      </w:r>
    </w:p>
  </w:footnote>
  <w:footnote w:id="108">
    <w:p w:rsidR="001A38FE" w:rsidRDefault="001A38FE" w:rsidP="007906A8">
      <w:pPr>
        <w:pStyle w:val="Footnote10"/>
        <w:spacing w:line="230" w:lineRule="auto"/>
      </w:pPr>
      <w:bookmarkStart w:id="365" w:name="bookmark113"/>
      <w:r>
        <w:rPr>
          <w:rStyle w:val="Footnote1"/>
          <w:rFonts w:ascii="Arial" w:eastAsia="Arial" w:hAnsi="Arial" w:cs="Arial"/>
          <w:sz w:val="10"/>
          <w:szCs w:val="10"/>
        </w:rPr>
        <w:footnoteRef/>
      </w:r>
      <w:hyperlink r:id="rId107" w:history="1">
        <w:r>
          <w:rPr>
            <w:rStyle w:val="Footnote1"/>
            <w:rFonts w:ascii="Arial" w:eastAsia="Arial" w:hAnsi="Arial" w:cs="Arial"/>
            <w:sz w:val="10"/>
            <w:szCs w:val="10"/>
          </w:rPr>
          <w:t xml:space="preserve"> </w:t>
        </w:r>
        <w:r>
          <w:rPr>
            <w:rStyle w:val="Footnote1"/>
            <w:u w:val="single"/>
          </w:rPr>
          <w:t>https://github.com/loomio/loomio/blob/master/DEVSETUP.md</w:t>
        </w:r>
        <w:bookmarkEnd w:id="365"/>
      </w:hyperlink>
    </w:p>
  </w:footnote>
  <w:footnote w:id="109">
    <w:p w:rsidR="001A38FE" w:rsidRDefault="001A38FE" w:rsidP="007906A8">
      <w:pPr>
        <w:pStyle w:val="Footnote10"/>
      </w:pPr>
      <w:bookmarkStart w:id="366" w:name="bookmark114"/>
      <w:r>
        <w:rPr>
          <w:rStyle w:val="Footnote1"/>
          <w:rFonts w:ascii="Arial" w:eastAsia="Arial" w:hAnsi="Arial" w:cs="Arial"/>
          <w:sz w:val="10"/>
          <w:szCs w:val="10"/>
        </w:rPr>
        <w:footnoteRef/>
      </w:r>
      <w:hyperlink r:id="rId108" w:history="1">
        <w:r>
          <w:rPr>
            <w:rStyle w:val="Footnote1"/>
            <w:u w:val="single"/>
          </w:rPr>
          <w:t>https://wiki.debian.org/SummerOfCode2019/ApprovedПроекти/ПакетLoomioForDebian</w:t>
        </w:r>
        <w:bookmarkEnd w:id="366"/>
      </w:hyperlink>
    </w:p>
  </w:footnote>
  <w:footnote w:id="110">
    <w:p w:rsidR="001A38FE" w:rsidRDefault="001A38FE" w:rsidP="007906A8">
      <w:pPr>
        <w:pStyle w:val="Footnote10"/>
      </w:pPr>
      <w:bookmarkStart w:id="367" w:name="bookmark115"/>
      <w:r>
        <w:rPr>
          <w:rStyle w:val="Footnote1"/>
          <w:rFonts w:ascii="Arial" w:eastAsia="Arial" w:hAnsi="Arial" w:cs="Arial"/>
          <w:sz w:val="10"/>
          <w:szCs w:val="10"/>
        </w:rPr>
        <w:footnoteRef/>
      </w:r>
      <w:hyperlink r:id="rId109" w:history="1">
        <w:r>
          <w:rPr>
            <w:rStyle w:val="Footnote1"/>
            <w:rFonts w:ascii="Arial" w:eastAsia="Arial" w:hAnsi="Arial" w:cs="Arial"/>
            <w:sz w:val="10"/>
            <w:szCs w:val="10"/>
          </w:rPr>
          <w:t xml:space="preserve"> </w:t>
        </w:r>
        <w:r>
          <w:rPr>
            <w:rStyle w:val="Footnote1"/>
            <w:u w:val="single"/>
          </w:rPr>
          <w:t>https://ipv6.rs/tutorial/Debian_Latest/Loomio/</w:t>
        </w:r>
        <w:bookmarkEnd w:id="367"/>
      </w:hyperlink>
    </w:p>
  </w:footnote>
  <w:footnote w:id="111">
    <w:p w:rsidR="001A38FE" w:rsidRDefault="001A38FE" w:rsidP="007906A8">
      <w:pPr>
        <w:pStyle w:val="Footnote10"/>
        <w:pBdr>
          <w:top w:val="single" w:sz="4" w:space="0" w:color="auto"/>
        </w:pBdr>
      </w:pPr>
      <w:bookmarkStart w:id="371" w:name="bookmark116"/>
      <w:r>
        <w:rPr>
          <w:rStyle w:val="Footnote1"/>
          <w:rFonts w:ascii="Arial" w:eastAsia="Arial" w:hAnsi="Arial" w:cs="Arial"/>
          <w:sz w:val="10"/>
          <w:szCs w:val="10"/>
        </w:rPr>
        <w:footnoteRef/>
      </w:r>
      <w:hyperlink r:id="rId110" w:history="1">
        <w:r>
          <w:rPr>
            <w:rStyle w:val="Footnote1"/>
            <w:rFonts w:ascii="Arial" w:eastAsia="Arial" w:hAnsi="Arial" w:cs="Arial"/>
            <w:sz w:val="10"/>
            <w:szCs w:val="10"/>
          </w:rPr>
          <w:t xml:space="preserve"> </w:t>
        </w:r>
        <w:r>
          <w:rPr>
            <w:rStyle w:val="Footnote1"/>
            <w:u w:val="single"/>
          </w:rPr>
          <w:t>https://help.loomio.com/en/</w:t>
        </w:r>
        <w:bookmarkEnd w:id="371"/>
      </w:hyperlink>
    </w:p>
  </w:footnote>
  <w:footnote w:id="112">
    <w:p w:rsidR="001A38FE" w:rsidRDefault="001A38FE" w:rsidP="002E2E94">
      <w:pPr>
        <w:pStyle w:val="Footnote10"/>
        <w:spacing w:line="230" w:lineRule="auto"/>
        <w:rPr>
          <w:rStyle w:val="Footnote1"/>
          <w:sz w:val="20"/>
          <w:szCs w:val="20"/>
        </w:rPr>
      </w:pPr>
      <w:bookmarkStart w:id="378" w:name="bookmark117"/>
      <w:r>
        <w:rPr>
          <w:rStyle w:val="Footnote1"/>
          <w:rFonts w:ascii="Times New Roman" w:eastAsia="Times New Roman" w:hAnsi="Times New Roman" w:cs="Times New Roman"/>
          <w:b/>
          <w:bCs/>
          <w:sz w:val="12"/>
          <w:szCs w:val="12"/>
        </w:rPr>
        <w:footnoteRef/>
      </w:r>
      <w:r>
        <w:rPr>
          <w:rStyle w:val="Footnote1"/>
          <w:rFonts w:ascii="Times New Roman" w:eastAsia="Times New Roman" w:hAnsi="Times New Roman" w:cs="Times New Roman"/>
          <w:b/>
          <w:bCs/>
          <w:sz w:val="12"/>
          <w:szCs w:val="12"/>
        </w:rPr>
        <w:t xml:space="preserve"> </w:t>
      </w:r>
      <w:hyperlink r:id="rId111" w:history="1">
        <w:r>
          <w:rPr>
            <w:rStyle w:val="Footnote1"/>
            <w:sz w:val="20"/>
            <w:szCs w:val="20"/>
          </w:rPr>
          <w:t>https://openems.io/association/</w:t>
        </w:r>
        <w:bookmarkEnd w:id="378"/>
      </w:hyperlink>
    </w:p>
    <w:p w:rsidR="001A38FE" w:rsidRDefault="001A38FE" w:rsidP="007906A8">
      <w:pPr>
        <w:pStyle w:val="Footnote10"/>
        <w:spacing w:line="230" w:lineRule="auto"/>
        <w:rPr>
          <w:sz w:val="20"/>
          <w:szCs w:val="20"/>
        </w:rPr>
      </w:pPr>
    </w:p>
  </w:footnote>
  <w:footnote w:id="113">
    <w:p w:rsidR="001A38FE" w:rsidRPr="002E2E94" w:rsidRDefault="001A38FE" w:rsidP="00DD6AF8">
      <w:pPr>
        <w:pStyle w:val="Footnote10"/>
        <w:spacing w:line="230" w:lineRule="auto"/>
        <w:rPr>
          <w:sz w:val="20"/>
          <w:szCs w:val="20"/>
          <w:lang w:val="bg"/>
        </w:rPr>
      </w:pPr>
      <w:bookmarkStart w:id="379" w:name="bookmark132"/>
      <w:r>
        <w:rPr>
          <w:rStyle w:val="FootnoteReference"/>
        </w:rPr>
        <w:footnoteRef/>
      </w:r>
      <w:r>
        <w:t xml:space="preserve"> </w:t>
      </w:r>
      <w:r w:rsidRPr="00DC7000">
        <w:rPr>
          <w:sz w:val="20"/>
          <w:szCs w:val="20"/>
          <w:lang w:val="bg"/>
        </w:rPr>
        <w:t>https://community.openems.io/</w:t>
      </w:r>
    </w:p>
    <w:p w:rsidR="001A38FE" w:rsidRPr="00DD6AF8" w:rsidRDefault="001A38FE">
      <w:pPr>
        <w:pStyle w:val="FootnoteText"/>
        <w:rPr>
          <w:lang w:val="bg-BG"/>
        </w:rPr>
      </w:pPr>
    </w:p>
    <w:bookmarkEnd w:id="379"/>
  </w:footnote>
  <w:footnote w:id="114">
    <w:p w:rsidR="001A38FE" w:rsidRDefault="001A38FE" w:rsidP="00DD6AF8">
      <w:pPr>
        <w:pStyle w:val="Footnote10"/>
        <w:ind w:left="426"/>
      </w:pPr>
      <w:r>
        <w:rPr>
          <w:rStyle w:val="FootnoteReference"/>
        </w:rPr>
        <w:footnoteRef/>
      </w:r>
      <w:r>
        <w:t xml:space="preserve"> </w:t>
      </w:r>
      <w:hyperlink r:id="rId112" w:history="1">
        <w:r>
          <w:rPr>
            <w:rStyle w:val="Footnote1"/>
          </w:rPr>
          <w:t>https://energy.ec.europa.eu/topics/markets-and-consumers/energy-consumers-and-prosumers/energy- communities/energy-communities-repository-policy-database_en#france</w:t>
        </w:r>
      </w:hyperlink>
    </w:p>
    <w:p w:rsidR="001A38FE" w:rsidRPr="00DD6AF8" w:rsidRDefault="001A38FE">
      <w:pPr>
        <w:pStyle w:val="FootnoteText"/>
        <w:rPr>
          <w:lang w:val="bg-BG"/>
        </w:rPr>
      </w:pPr>
    </w:p>
  </w:footnote>
  <w:footnote w:id="115">
    <w:p w:rsidR="001A38FE" w:rsidRDefault="001A38FE" w:rsidP="00AE1ED0">
      <w:pPr>
        <w:pStyle w:val="Footnote10"/>
        <w:ind w:left="426"/>
      </w:pPr>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113" w:history="1">
        <w:r>
          <w:rPr>
            <w:rStyle w:val="Footnote1"/>
          </w:rPr>
          <w:t>https://www.legifrance.gouv.fr/codes/texte_lc/LEGITEXT000023983208/2023-07-14/</w:t>
        </w:r>
      </w:hyperlink>
    </w:p>
  </w:footnote>
  <w:footnote w:id="116">
    <w:p w:rsidR="001A38FE" w:rsidRDefault="001A38FE" w:rsidP="007906A8">
      <w:pPr>
        <w:pStyle w:val="Footnote10"/>
        <w:rPr>
          <w:sz w:val="20"/>
          <w:szCs w:val="20"/>
        </w:rPr>
      </w:pPr>
      <w:r>
        <w:rPr>
          <w:rStyle w:val="Footnote1"/>
          <w:sz w:val="20"/>
          <w:szCs w:val="20"/>
        </w:rPr>
        <w:footnoteRef/>
      </w:r>
      <w:r>
        <w:rPr>
          <w:rStyle w:val="Footnote1"/>
          <w:sz w:val="20"/>
          <w:szCs w:val="20"/>
        </w:rPr>
        <w:t xml:space="preserve"> </w:t>
      </w:r>
      <w:hyperlink r:id="rId114" w:history="1">
        <w:r>
          <w:rPr>
            <w:rStyle w:val="Footnote1"/>
            <w:sz w:val="20"/>
            <w:szCs w:val="20"/>
          </w:rPr>
          <w:t>https://www.ecologie.gouv.fr/politiques-publiques/energies-renouvelables-citoyennes</w:t>
        </w:r>
      </w:hyperlink>
    </w:p>
  </w:footnote>
  <w:footnote w:id="117">
    <w:p w:rsidR="001A38FE" w:rsidRDefault="001A38FE" w:rsidP="007906A8">
      <w:pPr>
        <w:pStyle w:val="Footnote10"/>
        <w:rPr>
          <w:sz w:val="20"/>
          <w:szCs w:val="20"/>
        </w:rPr>
      </w:pPr>
      <w:r>
        <w:rPr>
          <w:rStyle w:val="Footnote1"/>
          <w:sz w:val="20"/>
          <w:szCs w:val="20"/>
        </w:rPr>
        <w:footnoteRef/>
      </w:r>
      <w:r>
        <w:rPr>
          <w:rStyle w:val="Footnote1"/>
          <w:sz w:val="20"/>
          <w:szCs w:val="20"/>
        </w:rPr>
        <w:t xml:space="preserve"> </w:t>
      </w:r>
      <w:hyperlink r:id="rId115" w:history="1">
        <w:r>
          <w:rPr>
            <w:rStyle w:val="Footnote1"/>
            <w:sz w:val="20"/>
            <w:szCs w:val="20"/>
          </w:rPr>
          <w:t>https://en.selectra.info/energy-france/guides/electricity/linky</w:t>
        </w:r>
      </w:hyperlink>
      <w:r>
        <w:t xml:space="preserve"> (на английски)</w:t>
      </w:r>
    </w:p>
  </w:footnote>
  <w:footnote w:id="118">
    <w:p w:rsidR="001A38FE" w:rsidRDefault="001A38FE" w:rsidP="007906A8">
      <w:pPr>
        <w:pStyle w:val="Footnote10"/>
        <w:rPr>
          <w:sz w:val="20"/>
          <w:szCs w:val="20"/>
        </w:rPr>
      </w:pPr>
      <w:bookmarkStart w:id="402" w:name="bookmark136"/>
      <w:r>
        <w:rPr>
          <w:rStyle w:val="Footnote1"/>
          <w:sz w:val="20"/>
          <w:szCs w:val="20"/>
        </w:rPr>
        <w:footnoteRef/>
      </w:r>
      <w:r>
        <w:rPr>
          <w:rStyle w:val="Footnote1"/>
          <w:sz w:val="20"/>
          <w:szCs w:val="20"/>
        </w:rPr>
        <w:t xml:space="preserve"> </w:t>
      </w:r>
      <w:hyperlink r:id="rId116" w:history="1">
        <w:r>
          <w:rPr>
            <w:rStyle w:val="Footnote1"/>
            <w:sz w:val="20"/>
            <w:szCs w:val="20"/>
          </w:rPr>
          <w:t>https://www.enedis.fr/acceder-aux-donnees-fournies-par-enedis</w:t>
        </w:r>
        <w:bookmarkEnd w:id="402"/>
      </w:hyperlink>
    </w:p>
  </w:footnote>
  <w:footnote w:id="119">
    <w:p w:rsidR="001A38FE" w:rsidRDefault="001A38FE" w:rsidP="007906A8">
      <w:pPr>
        <w:pStyle w:val="Footnote10"/>
        <w:spacing w:line="266" w:lineRule="auto"/>
        <w:rPr>
          <w:sz w:val="20"/>
          <w:szCs w:val="20"/>
        </w:rPr>
      </w:pPr>
      <w:r>
        <w:rPr>
          <w:rStyle w:val="Footnote1"/>
          <w:sz w:val="20"/>
          <w:szCs w:val="20"/>
        </w:rPr>
        <w:footnoteRef/>
      </w:r>
      <w:r>
        <w:rPr>
          <w:rStyle w:val="Footnote1"/>
          <w:sz w:val="20"/>
          <w:szCs w:val="20"/>
        </w:rPr>
        <w:t xml:space="preserve"> </w:t>
      </w:r>
      <w:hyperlink r:id="rId117" w:history="1">
        <w:r>
          <w:rPr>
            <w:rStyle w:val="Footnote1"/>
            <w:sz w:val="20"/>
            <w:szCs w:val="20"/>
          </w:rPr>
          <w:t>https://eliq.com/blog/meet-linky-frances-smart-meter-who-talks-to-consumers-through-our-utility-apps/</w:t>
        </w:r>
      </w:hyperlink>
    </w:p>
  </w:footnote>
  <w:footnote w:id="120">
    <w:p w:rsidR="001A38FE" w:rsidRDefault="001A38FE" w:rsidP="007906A8">
      <w:pPr>
        <w:pStyle w:val="Footnote10"/>
        <w:spacing w:line="266" w:lineRule="auto"/>
        <w:rPr>
          <w:sz w:val="20"/>
          <w:szCs w:val="20"/>
        </w:rPr>
      </w:pPr>
      <w:r>
        <w:rPr>
          <w:rStyle w:val="Footnote1"/>
          <w:sz w:val="20"/>
          <w:szCs w:val="20"/>
        </w:rPr>
        <w:footnoteRef/>
      </w:r>
      <w:hyperlink r:id="rId118" w:history="1">
        <w:r>
          <w:rPr>
            <w:rStyle w:val="Footnote1"/>
            <w:sz w:val="20"/>
            <w:szCs w:val="20"/>
          </w:rPr>
          <w:t>https://www.encyclopedie-energie.org/en/collective-self-consumption-principles-and-state-of-the-art-in- france/</w:t>
        </w:r>
      </w:hyperlink>
    </w:p>
  </w:footnote>
  <w:footnote w:id="121">
    <w:p w:rsidR="001A38FE" w:rsidRPr="008337BA" w:rsidRDefault="001A38FE" w:rsidP="007906A8">
      <w:pPr>
        <w:pStyle w:val="Footnote10"/>
        <w:rPr>
          <w:rFonts w:ascii="Times New Roman" w:hAnsi="Times New Roman" w:cs="Times New Roman"/>
          <w:sz w:val="20"/>
          <w:szCs w:val="20"/>
        </w:rPr>
      </w:pPr>
      <w:bookmarkStart w:id="405" w:name="bookmark139"/>
      <w:r w:rsidRPr="008337BA">
        <w:rPr>
          <w:rStyle w:val="Footnote1"/>
          <w:rFonts w:ascii="Times New Roman" w:hAnsi="Times New Roman" w:cs="Times New Roman"/>
          <w:sz w:val="20"/>
          <w:szCs w:val="20"/>
        </w:rPr>
        <w:footnoteRef/>
      </w:r>
      <w:r w:rsidRPr="008337BA">
        <w:rPr>
          <w:rStyle w:val="Footnote1"/>
          <w:rFonts w:ascii="Times New Roman" w:hAnsi="Times New Roman" w:cs="Times New Roman"/>
          <w:sz w:val="20"/>
          <w:szCs w:val="20"/>
        </w:rPr>
        <w:t xml:space="preserve"> </w:t>
      </w:r>
      <w:hyperlink r:id="rId119" w:history="1">
        <w:r w:rsidRPr="008337BA">
          <w:rPr>
            <w:rStyle w:val="Footnote1"/>
            <w:rFonts w:ascii="Times New Roman" w:hAnsi="Times New Roman" w:cs="Times New Roman"/>
            <w:sz w:val="20"/>
            <w:szCs w:val="20"/>
          </w:rPr>
          <w:t>https://cms.law/en/int/expert-guides/cms-expert-guide-to-renewable-energy/france</w:t>
        </w:r>
        <w:bookmarkEnd w:id="405"/>
      </w:hyperlink>
      <w:r w:rsidRPr="008337BA">
        <w:rPr>
          <w:rFonts w:ascii="Times New Roman" w:hAnsi="Times New Roman" w:cs="Times New Roman"/>
          <w:sz w:val="20"/>
          <w:szCs w:val="20"/>
        </w:rPr>
        <w:t xml:space="preserve"> (на английски)</w:t>
      </w:r>
    </w:p>
  </w:footnote>
  <w:footnote w:id="122">
    <w:p w:rsidR="001A38FE" w:rsidRPr="008337BA" w:rsidRDefault="001A38FE" w:rsidP="007906A8">
      <w:pPr>
        <w:pStyle w:val="Footnote10"/>
        <w:rPr>
          <w:rFonts w:ascii="Times New Roman" w:hAnsi="Times New Roman" w:cs="Times New Roman"/>
          <w:sz w:val="20"/>
          <w:szCs w:val="20"/>
        </w:rPr>
      </w:pPr>
      <w:bookmarkStart w:id="406" w:name="bookmark140"/>
      <w:r w:rsidRPr="008337BA">
        <w:rPr>
          <w:rStyle w:val="Footnote1"/>
          <w:rFonts w:ascii="Times New Roman" w:hAnsi="Times New Roman" w:cs="Times New Roman"/>
          <w:sz w:val="20"/>
          <w:szCs w:val="20"/>
        </w:rPr>
        <w:footnoteRef/>
      </w:r>
      <w:r w:rsidRPr="008337BA">
        <w:rPr>
          <w:rStyle w:val="Footnote1"/>
          <w:rFonts w:ascii="Times New Roman" w:hAnsi="Times New Roman" w:cs="Times New Roman"/>
          <w:sz w:val="20"/>
          <w:szCs w:val="20"/>
        </w:rPr>
        <w:t xml:space="preserve"> </w:t>
      </w:r>
      <w:hyperlink r:id="rId120" w:history="1">
        <w:r w:rsidRPr="008337BA">
          <w:rPr>
            <w:rStyle w:val="Footnote1"/>
            <w:rFonts w:ascii="Times New Roman" w:hAnsi="Times New Roman" w:cs="Times New Roman"/>
            <w:sz w:val="20"/>
            <w:szCs w:val="20"/>
          </w:rPr>
          <w:t>https://flux50.com/media/5757/05%20Enedis.pdf</w:t>
        </w:r>
        <w:bookmarkEnd w:id="406"/>
      </w:hyperlink>
    </w:p>
  </w:footnote>
  <w:footnote w:id="123">
    <w:p w:rsidR="001A38FE" w:rsidRPr="008337BA" w:rsidRDefault="001A38FE" w:rsidP="007906A8">
      <w:pPr>
        <w:pStyle w:val="Footnote10"/>
        <w:rPr>
          <w:rFonts w:ascii="Times New Roman" w:hAnsi="Times New Roman" w:cs="Times New Roman"/>
          <w:sz w:val="20"/>
          <w:szCs w:val="20"/>
        </w:rPr>
      </w:pPr>
      <w:bookmarkStart w:id="407" w:name="bookmark141"/>
      <w:r w:rsidRPr="008337BA">
        <w:rPr>
          <w:rStyle w:val="Footnote1"/>
          <w:rFonts w:ascii="Times New Roman" w:eastAsia="Arial" w:hAnsi="Times New Roman" w:cs="Times New Roman"/>
          <w:sz w:val="20"/>
          <w:szCs w:val="20"/>
        </w:rPr>
        <w:footnoteRef/>
      </w:r>
      <w:r w:rsidRPr="008337BA">
        <w:rPr>
          <w:rStyle w:val="Footnote1"/>
          <w:rFonts w:ascii="Times New Roman" w:eastAsia="Arial" w:hAnsi="Times New Roman" w:cs="Times New Roman"/>
          <w:sz w:val="20"/>
          <w:szCs w:val="20"/>
        </w:rPr>
        <w:t xml:space="preserve"> </w:t>
      </w:r>
      <w:hyperlink r:id="rId121" w:history="1">
        <w:r w:rsidRPr="008337BA">
          <w:rPr>
            <w:rStyle w:val="Footnote1"/>
            <w:rFonts w:ascii="Times New Roman" w:hAnsi="Times New Roman" w:cs="Times New Roman"/>
            <w:sz w:val="20"/>
            <w:szCs w:val="20"/>
          </w:rPr>
          <w:t>https://www.rescoop.eu/policy/transposition-tracker/enabling-frameworks-support-schemes/france</w:t>
        </w:r>
        <w:bookmarkEnd w:id="407"/>
      </w:hyperlink>
      <w:r w:rsidRPr="008337BA">
        <w:rPr>
          <w:rFonts w:ascii="Times New Roman" w:hAnsi="Times New Roman" w:cs="Times New Roman"/>
          <w:sz w:val="20"/>
          <w:szCs w:val="20"/>
        </w:rPr>
        <w:t xml:space="preserve"> (на английски)</w:t>
      </w:r>
    </w:p>
  </w:footnote>
  <w:footnote w:id="124">
    <w:p w:rsidR="001A38FE" w:rsidRDefault="001A38FE" w:rsidP="007906A8">
      <w:pPr>
        <w:pStyle w:val="Footnote10"/>
      </w:pPr>
      <w:bookmarkStart w:id="412" w:name="bookmark142"/>
      <w:r>
        <w:rPr>
          <w:rStyle w:val="Footnote1"/>
          <w:rFonts w:ascii="Arial" w:eastAsia="Arial" w:hAnsi="Arial" w:cs="Arial"/>
          <w:sz w:val="10"/>
          <w:szCs w:val="10"/>
        </w:rPr>
        <w:footnoteRef/>
      </w:r>
      <w:hyperlink r:id="rId122" w:history="1">
        <w:r>
          <w:rPr>
            <w:rStyle w:val="Footnote1"/>
          </w:rPr>
          <w:t>https://energy.ec.europa.eu/topics/markets-and-consumers/energy-consumers-and-prosumers/energy- communities/energy-communities-repository-policy-database_en#germany</w:t>
        </w:r>
        <w:bookmarkEnd w:id="412"/>
      </w:hyperlink>
    </w:p>
  </w:footnote>
  <w:footnote w:id="125">
    <w:p w:rsidR="001A38FE" w:rsidRDefault="001A38FE" w:rsidP="007906A8">
      <w:pPr>
        <w:pStyle w:val="Footnote10"/>
      </w:pPr>
      <w:bookmarkStart w:id="413" w:name="bookmark143"/>
      <w:r>
        <w:rPr>
          <w:rStyle w:val="Footnote1"/>
          <w:rFonts w:ascii="Arial" w:eastAsia="Arial" w:hAnsi="Arial" w:cs="Arial"/>
          <w:sz w:val="10"/>
          <w:szCs w:val="10"/>
        </w:rPr>
        <w:footnoteRef/>
      </w:r>
      <w:hyperlink r:id="rId123" w:history="1">
        <w:r>
          <w:rPr>
            <w:rStyle w:val="Footnote1"/>
          </w:rPr>
          <w:t>https://clean-energy-islands.ec.europa.eu/countries/germany/legal/community-energy-policies/energy-communities- energy-cooperatives-energy</w:t>
        </w:r>
        <w:bookmarkEnd w:id="413"/>
      </w:hyperlink>
      <w:r>
        <w:t xml:space="preserve"> (на английски)</w:t>
      </w:r>
    </w:p>
  </w:footnote>
  <w:footnote w:id="126">
    <w:p w:rsidR="001A38FE" w:rsidRDefault="001A38FE" w:rsidP="007906A8">
      <w:pPr>
        <w:pStyle w:val="Footnote10"/>
      </w:pPr>
      <w:bookmarkStart w:id="414" w:name="bookmark144"/>
      <w:r>
        <w:rPr>
          <w:rStyle w:val="Footnote1"/>
          <w:rFonts w:ascii="Arial" w:eastAsia="Arial" w:hAnsi="Arial" w:cs="Arial"/>
          <w:sz w:val="10"/>
          <w:szCs w:val="10"/>
        </w:rPr>
        <w:footnoteRef/>
      </w:r>
      <w:r>
        <w:rPr>
          <w:rStyle w:val="Footnote1"/>
          <w:rFonts w:ascii="Arial" w:eastAsia="Arial" w:hAnsi="Arial" w:cs="Arial"/>
          <w:sz w:val="10"/>
          <w:szCs w:val="10"/>
        </w:rPr>
        <w:t xml:space="preserve"> </w:t>
      </w:r>
      <w:hyperlink r:id="rId124" w:history="1">
        <w:r>
          <w:rPr>
            <w:rStyle w:val="Footnote1"/>
          </w:rPr>
          <w:t>https://www.boell-sh.de/sites/default/files/2024-07/policy-factsheet-germany_updated-version.pdf</w:t>
        </w:r>
        <w:bookmarkEnd w:id="414"/>
      </w:hyperlink>
    </w:p>
  </w:footnote>
  <w:footnote w:id="127">
    <w:p w:rsidR="001A38FE" w:rsidRDefault="001A38FE" w:rsidP="007906A8">
      <w:pPr>
        <w:pStyle w:val="Footnote10"/>
        <w:rPr>
          <w:sz w:val="20"/>
          <w:szCs w:val="20"/>
        </w:rPr>
      </w:pPr>
      <w:bookmarkStart w:id="417" w:name="bookmark145"/>
      <w:r>
        <w:rPr>
          <w:rStyle w:val="Footnote1"/>
          <w:sz w:val="20"/>
          <w:szCs w:val="20"/>
        </w:rPr>
        <w:footnoteRef/>
      </w:r>
      <w:r>
        <w:rPr>
          <w:rStyle w:val="Footnote1"/>
          <w:sz w:val="20"/>
          <w:szCs w:val="20"/>
        </w:rPr>
        <w:t xml:space="preserve"> </w:t>
      </w:r>
      <w:hyperlink r:id="rId125" w:history="1">
        <w:r>
          <w:rPr>
            <w:rStyle w:val="Footnote1"/>
            <w:sz w:val="20"/>
            <w:szCs w:val="20"/>
          </w:rPr>
          <w:t>https://www.ffe.de/en/publications/the-smart-meter-rollout-in-germany-and-europe/</w:t>
        </w:r>
        <w:bookmarkEnd w:id="417"/>
      </w:hyperlink>
    </w:p>
  </w:footnote>
  <w:footnote w:id="128">
    <w:p w:rsidR="001A38FE" w:rsidRDefault="001A38FE" w:rsidP="007906A8">
      <w:pPr>
        <w:pStyle w:val="Footnote10"/>
        <w:rPr>
          <w:sz w:val="20"/>
          <w:szCs w:val="20"/>
        </w:rPr>
      </w:pPr>
      <w:bookmarkStart w:id="418" w:name="bookmark146"/>
      <w:r>
        <w:rPr>
          <w:rStyle w:val="Footnote1"/>
          <w:sz w:val="20"/>
          <w:szCs w:val="20"/>
        </w:rPr>
        <w:footnoteRef/>
      </w:r>
      <w:r>
        <w:rPr>
          <w:rStyle w:val="Footnote1"/>
          <w:sz w:val="20"/>
          <w:szCs w:val="20"/>
        </w:rPr>
        <w:t xml:space="preserve"> </w:t>
      </w:r>
      <w:hyperlink r:id="rId126" w:history="1">
        <w:r>
          <w:rPr>
            <w:rStyle w:val="Footnote1"/>
            <w:sz w:val="20"/>
            <w:szCs w:val="20"/>
          </w:rPr>
          <w:t>https://www.openvolt.com/blog/post/the-state-of-smart-meter-data-access-across-europe</w:t>
        </w:r>
        <w:bookmarkEnd w:id="418"/>
      </w:hyperlink>
      <w:r>
        <w:t xml:space="preserve"> (на английски)</w:t>
      </w:r>
    </w:p>
  </w:footnote>
  <w:footnote w:id="129">
    <w:p w:rsidR="001A38FE" w:rsidRDefault="001A38FE" w:rsidP="007906A8">
      <w:pPr>
        <w:pStyle w:val="Footnote10"/>
        <w:rPr>
          <w:sz w:val="20"/>
          <w:szCs w:val="20"/>
        </w:rPr>
      </w:pPr>
      <w:bookmarkStart w:id="419" w:name="bookmark147"/>
      <w:r>
        <w:rPr>
          <w:rStyle w:val="Footnote1"/>
          <w:sz w:val="20"/>
          <w:szCs w:val="20"/>
        </w:rPr>
        <w:footnoteRef/>
      </w:r>
      <w:r>
        <w:rPr>
          <w:rStyle w:val="Footnote1"/>
          <w:sz w:val="20"/>
          <w:szCs w:val="20"/>
        </w:rPr>
        <w:t>https://www.bsi.bund.de/EN/Das-BSI/Auftrag/Gesetze-und-Verordungen/Smart-Metering-GDEW-</w:t>
      </w:r>
      <w:bookmarkEnd w:id="419"/>
    </w:p>
    <w:p w:rsidR="001A38FE" w:rsidRDefault="001A38FE" w:rsidP="007906A8">
      <w:pPr>
        <w:pStyle w:val="Footnote10"/>
        <w:rPr>
          <w:sz w:val="20"/>
          <w:szCs w:val="20"/>
        </w:rPr>
      </w:pPr>
      <w:r>
        <w:rPr>
          <w:rStyle w:val="Footnote1"/>
          <w:sz w:val="20"/>
          <w:szCs w:val="20"/>
        </w:rPr>
        <w:t>MsbG/smart-metering-gdew-msbg.html</w:t>
      </w:r>
    </w:p>
  </w:footnote>
  <w:footnote w:id="130">
    <w:p w:rsidR="001A38FE" w:rsidRDefault="001A38FE" w:rsidP="007906A8">
      <w:pPr>
        <w:pStyle w:val="Footnote10"/>
        <w:rPr>
          <w:sz w:val="20"/>
          <w:szCs w:val="20"/>
        </w:rPr>
      </w:pPr>
      <w:bookmarkStart w:id="420" w:name="bookmark148"/>
      <w:r>
        <w:rPr>
          <w:rStyle w:val="Footnote1"/>
          <w:sz w:val="20"/>
          <w:szCs w:val="20"/>
        </w:rPr>
        <w:footnoteRef/>
      </w:r>
      <w:r>
        <w:rPr>
          <w:rStyle w:val="Footnote1"/>
          <w:sz w:val="20"/>
          <w:szCs w:val="20"/>
        </w:rPr>
        <w:t xml:space="preserve"> </w:t>
      </w:r>
      <w:hyperlink r:id="rId127" w:history="1">
        <w:r>
          <w:rPr>
            <w:rStyle w:val="Footnote1"/>
            <w:sz w:val="20"/>
            <w:szCs w:val="20"/>
          </w:rPr>
          <w:t>https://www.bsi.bund.de/EN/Service-Navi/FAQ/SmartMeter/faq_smartmeter_node.html</w:t>
        </w:r>
        <w:bookmarkEnd w:id="420"/>
      </w:hyperlink>
    </w:p>
  </w:footnote>
  <w:footnote w:id="131">
    <w:p w:rsidR="001A38FE" w:rsidRDefault="001A38FE" w:rsidP="007906A8">
      <w:pPr>
        <w:pStyle w:val="Footnote10"/>
        <w:rPr>
          <w:sz w:val="20"/>
          <w:szCs w:val="20"/>
        </w:rPr>
      </w:pPr>
      <w:bookmarkStart w:id="426" w:name="bookmark149"/>
      <w:r>
        <w:rPr>
          <w:rStyle w:val="Footnote1"/>
          <w:sz w:val="20"/>
          <w:szCs w:val="20"/>
        </w:rPr>
        <w:footnoteRef/>
      </w:r>
      <w:r>
        <w:rPr>
          <w:rStyle w:val="Footnote1"/>
          <w:sz w:val="20"/>
          <w:szCs w:val="20"/>
        </w:rPr>
        <w:t xml:space="preserve"> </w:t>
      </w:r>
      <w:hyperlink r:id="rId128" w:history="1">
        <w:r>
          <w:rPr>
            <w:rStyle w:val="Footnote1"/>
            <w:sz w:val="20"/>
            <w:szCs w:val="20"/>
          </w:rPr>
          <w:t>https://pub.norden.org/nordicenergyresearch2023-03/denmark</w:t>
        </w:r>
        <w:bookmarkEnd w:id="426"/>
      </w:hyperlink>
      <w:r>
        <w:t xml:space="preserve"> (на английски)</w:t>
      </w:r>
    </w:p>
  </w:footnote>
  <w:footnote w:id="132">
    <w:p w:rsidR="001A38FE" w:rsidRPr="008337BA" w:rsidRDefault="001A38FE" w:rsidP="007906A8">
      <w:pPr>
        <w:pStyle w:val="Footnote10"/>
        <w:rPr>
          <w:rFonts w:ascii="Times New Roman" w:hAnsi="Times New Roman" w:cs="Times New Roman"/>
        </w:rPr>
      </w:pPr>
      <w:r w:rsidRPr="008337BA">
        <w:rPr>
          <w:rStyle w:val="Footnote1"/>
          <w:rFonts w:ascii="Times New Roman" w:hAnsi="Times New Roman" w:cs="Times New Roman"/>
        </w:rPr>
        <w:footnoteRef/>
      </w:r>
      <w:r w:rsidRPr="008337BA">
        <w:rPr>
          <w:rStyle w:val="Footnote1"/>
          <w:rFonts w:ascii="Times New Roman" w:hAnsi="Times New Roman" w:cs="Times New Roman"/>
        </w:rPr>
        <w:t xml:space="preserve"> </w:t>
      </w:r>
      <w:hyperlink r:id="rId129" w:history="1">
        <w:r w:rsidRPr="008337BA">
          <w:rPr>
            <w:rStyle w:val="Footnote1"/>
            <w:rFonts w:ascii="Times New Roman" w:hAnsi="Times New Roman" w:cs="Times New Roman"/>
          </w:rPr>
          <w:t>https://www.rescoop.eu/policy/transposition-tracker/enabling-frameworks-support-schemes/denmark</w:t>
        </w:r>
      </w:hyperlink>
      <w:r w:rsidRPr="008337BA">
        <w:rPr>
          <w:rFonts w:ascii="Times New Roman" w:hAnsi="Times New Roman" w:cs="Times New Roman"/>
        </w:rPr>
        <w:t xml:space="preserve"> (на английски)</w:t>
      </w:r>
    </w:p>
  </w:footnote>
  <w:footnote w:id="133">
    <w:p w:rsidR="001A38FE" w:rsidRPr="008337BA" w:rsidRDefault="001A38FE" w:rsidP="007906A8">
      <w:pPr>
        <w:pStyle w:val="Footnote10"/>
        <w:rPr>
          <w:rFonts w:ascii="Times New Roman" w:hAnsi="Times New Roman" w:cs="Times New Roman"/>
        </w:rPr>
      </w:pPr>
      <w:r w:rsidRPr="008337BA">
        <w:rPr>
          <w:rStyle w:val="Footnote1"/>
          <w:rFonts w:ascii="Times New Roman" w:hAnsi="Times New Roman" w:cs="Times New Roman"/>
        </w:rPr>
        <w:footnoteRef/>
      </w:r>
      <w:r w:rsidRPr="008337BA">
        <w:rPr>
          <w:rStyle w:val="Footnote1"/>
          <w:rFonts w:ascii="Times New Roman" w:hAnsi="Times New Roman" w:cs="Times New Roman"/>
        </w:rPr>
        <w:t xml:space="preserve"> </w:t>
      </w:r>
      <w:hyperlink r:id="rId130" w:history="1">
        <w:r w:rsidRPr="008337BA">
          <w:rPr>
            <w:rStyle w:val="Footnote1"/>
            <w:rFonts w:ascii="Times New Roman" w:hAnsi="Times New Roman" w:cs="Times New Roman"/>
          </w:rPr>
          <w:t>https://www.openvolt.com/blog/post/the-state-of-smart-meter-data-access-across-europe</w:t>
        </w:r>
      </w:hyperlink>
      <w:r w:rsidRPr="008337BA">
        <w:rPr>
          <w:rFonts w:ascii="Times New Roman" w:hAnsi="Times New Roman" w:cs="Times New Roman"/>
        </w:rPr>
        <w:t xml:space="preserve"> (на английски)</w:t>
      </w:r>
    </w:p>
  </w:footnote>
  <w:footnote w:id="134">
    <w:p w:rsidR="001A38FE" w:rsidRPr="008337BA" w:rsidRDefault="001A38FE" w:rsidP="007906A8">
      <w:pPr>
        <w:pStyle w:val="Footnote10"/>
        <w:rPr>
          <w:rFonts w:ascii="Times New Roman" w:hAnsi="Times New Roman" w:cs="Times New Roman"/>
        </w:rPr>
      </w:pPr>
      <w:bookmarkStart w:id="430" w:name="bookmark152"/>
      <w:r w:rsidRPr="008337BA">
        <w:rPr>
          <w:rStyle w:val="Footnote1"/>
          <w:rFonts w:ascii="Times New Roman" w:hAnsi="Times New Roman" w:cs="Times New Roman"/>
        </w:rPr>
        <w:footnoteRef/>
      </w:r>
      <w:r w:rsidRPr="008337BA">
        <w:rPr>
          <w:rStyle w:val="Footnote1"/>
          <w:rFonts w:ascii="Times New Roman" w:hAnsi="Times New Roman" w:cs="Times New Roman"/>
        </w:rPr>
        <w:t xml:space="preserve"> </w:t>
      </w:r>
      <w:hyperlink r:id="rId131" w:history="1">
        <w:r w:rsidRPr="008337BA">
          <w:rPr>
            <w:rStyle w:val="Footnote1"/>
            <w:rFonts w:ascii="Times New Roman" w:hAnsi="Times New Roman" w:cs="Times New Roman"/>
          </w:rPr>
          <w:t>https://www.annualreports.com/HostedData/AnnualReportArchive/o/OTC_DOGEF_2019.pdf</w:t>
        </w:r>
        <w:bookmarkEnd w:id="430"/>
      </w:hyperlink>
    </w:p>
  </w:footnote>
  <w:footnote w:id="135">
    <w:p w:rsidR="001A38FE" w:rsidRDefault="001A38FE" w:rsidP="007906A8">
      <w:pPr>
        <w:pStyle w:val="Footnote10"/>
        <w:rPr>
          <w:sz w:val="20"/>
          <w:szCs w:val="20"/>
        </w:rPr>
      </w:pPr>
      <w:bookmarkStart w:id="431" w:name="bookmark153"/>
      <w:r>
        <w:rPr>
          <w:rStyle w:val="Footnote1"/>
          <w:sz w:val="20"/>
          <w:szCs w:val="20"/>
        </w:rPr>
        <w:footnoteRef/>
      </w:r>
      <w:r>
        <w:rPr>
          <w:rStyle w:val="Footnote1"/>
          <w:sz w:val="20"/>
          <w:szCs w:val="20"/>
        </w:rPr>
        <w:t xml:space="preserve"> </w:t>
      </w:r>
      <w:hyperlink r:id="rId132" w:history="1">
        <w:r>
          <w:rPr>
            <w:rStyle w:val="Footnote1"/>
            <w:sz w:val="20"/>
            <w:szCs w:val="20"/>
          </w:rPr>
          <w:t>https://eloverblik.dk/</w:t>
        </w:r>
        <w:bookmarkEnd w:id="431"/>
      </w:hyperlink>
    </w:p>
  </w:footnote>
  <w:footnote w:id="136">
    <w:p w:rsidR="001A38FE" w:rsidRDefault="001A38FE" w:rsidP="007906A8">
      <w:pPr>
        <w:pStyle w:val="Footnote10"/>
        <w:rPr>
          <w:sz w:val="20"/>
          <w:szCs w:val="20"/>
        </w:rPr>
      </w:pPr>
      <w:bookmarkStart w:id="432" w:name="bookmark154"/>
      <w:r>
        <w:rPr>
          <w:rStyle w:val="Footnote1"/>
          <w:sz w:val="20"/>
          <w:szCs w:val="20"/>
        </w:rPr>
        <w:footnoteRef/>
      </w:r>
      <w:r>
        <w:rPr>
          <w:rStyle w:val="Footnote1"/>
          <w:sz w:val="20"/>
          <w:szCs w:val="20"/>
        </w:rPr>
        <w:t xml:space="preserve"> </w:t>
      </w:r>
      <w:hyperlink r:id="rId133" w:history="1">
        <w:r>
          <w:rPr>
            <w:rStyle w:val="Footnote1"/>
            <w:sz w:val="20"/>
            <w:szCs w:val="20"/>
          </w:rPr>
          <w:t>https://energinet.dk/data-om-energi/datahub/</w:t>
        </w:r>
        <w:bookmarkEnd w:id="432"/>
      </w:hyperlink>
    </w:p>
  </w:footnote>
  <w:footnote w:id="137">
    <w:p w:rsidR="001A38FE" w:rsidRDefault="001A38FE" w:rsidP="007906A8">
      <w:pPr>
        <w:pStyle w:val="Footnote10"/>
        <w:rPr>
          <w:sz w:val="20"/>
          <w:szCs w:val="20"/>
        </w:rPr>
      </w:pPr>
      <w:bookmarkStart w:id="433" w:name="bookmark155"/>
      <w:r>
        <w:rPr>
          <w:rStyle w:val="Footnote1"/>
          <w:sz w:val="20"/>
          <w:szCs w:val="20"/>
        </w:rPr>
        <w:footnoteRef/>
      </w:r>
      <w:r>
        <w:rPr>
          <w:rStyle w:val="Footnote1"/>
          <w:sz w:val="20"/>
          <w:szCs w:val="20"/>
        </w:rPr>
        <w:t xml:space="preserve"> </w:t>
      </w:r>
      <w:hyperlink r:id="rId134" w:history="1">
        <w:r>
          <w:rPr>
            <w:rStyle w:val="Footnote1"/>
            <w:sz w:val="20"/>
            <w:szCs w:val="20"/>
          </w:rPr>
          <w:t>https://www.energidataservice.dk/</w:t>
        </w:r>
        <w:bookmarkEnd w:id="433"/>
      </w:hyperlink>
    </w:p>
  </w:footnote>
  <w:footnote w:id="138">
    <w:p w:rsidR="001A38FE" w:rsidRDefault="001A38FE" w:rsidP="007906A8">
      <w:pPr>
        <w:pStyle w:val="Footnote10"/>
        <w:pBdr>
          <w:top w:val="single" w:sz="4" w:space="0" w:color="auto"/>
        </w:pBdr>
        <w:rPr>
          <w:sz w:val="20"/>
          <w:szCs w:val="20"/>
        </w:rPr>
      </w:pPr>
      <w:bookmarkStart w:id="437" w:name="bookmark156"/>
      <w:r>
        <w:rPr>
          <w:rStyle w:val="Footnote1"/>
          <w:sz w:val="20"/>
          <w:szCs w:val="20"/>
        </w:rPr>
        <w:footnoteRef/>
      </w:r>
      <w:r>
        <w:rPr>
          <w:rStyle w:val="Footnote1"/>
          <w:sz w:val="20"/>
          <w:szCs w:val="20"/>
        </w:rPr>
        <w:t xml:space="preserve"> </w:t>
      </w:r>
      <w:hyperlink r:id="rId135" w:history="1">
        <w:r>
          <w:rPr>
            <w:rStyle w:val="Footnote1"/>
            <w:sz w:val="20"/>
            <w:szCs w:val="20"/>
          </w:rPr>
          <w:t>https://energydata.dk/en/</w:t>
        </w:r>
        <w:bookmarkEnd w:id="437"/>
      </w:hyperlink>
    </w:p>
  </w:footnote>
  <w:footnote w:id="139">
    <w:p w:rsidR="001A38FE" w:rsidRDefault="001A38FE" w:rsidP="00A53A71">
      <w:pPr>
        <w:pStyle w:val="Footnote10"/>
        <w:rPr>
          <w:sz w:val="20"/>
          <w:szCs w:val="20"/>
        </w:rPr>
      </w:pPr>
      <w:bookmarkStart w:id="448" w:name="bookmark158"/>
      <w:r>
        <w:rPr>
          <w:rStyle w:val="Footnote1"/>
          <w:sz w:val="20"/>
          <w:szCs w:val="20"/>
        </w:rPr>
        <w:footnoteRef/>
      </w:r>
      <w:hyperlink r:id="rId136" w:history="1">
        <w:r>
          <w:rPr>
            <w:rStyle w:val="Footnote1"/>
            <w:sz w:val="20"/>
            <w:szCs w:val="20"/>
          </w:rPr>
          <w:t xml:space="preserve"> </w:t>
        </w:r>
        <w:r>
          <w:rPr>
            <w:rStyle w:val="Footnote1"/>
            <w:sz w:val="20"/>
            <w:szCs w:val="20"/>
            <w:u w:val="single"/>
          </w:rPr>
          <w:t>https://smartsenja.no/</w:t>
        </w:r>
        <w:bookmarkEnd w:id="448"/>
      </w:hyperlink>
    </w:p>
  </w:footnote>
  <w:footnote w:id="140">
    <w:p w:rsidR="001A38FE" w:rsidRDefault="001A38FE" w:rsidP="007906A8">
      <w:pPr>
        <w:pStyle w:val="Footnote10"/>
        <w:rPr>
          <w:sz w:val="20"/>
          <w:szCs w:val="20"/>
        </w:rPr>
      </w:pPr>
      <w:r>
        <w:rPr>
          <w:rStyle w:val="Footnote1"/>
          <w:sz w:val="20"/>
          <w:szCs w:val="20"/>
        </w:rPr>
        <w:footnoteRef/>
      </w:r>
      <w:r>
        <w:rPr>
          <w:rStyle w:val="Footnote1"/>
          <w:sz w:val="20"/>
          <w:szCs w:val="20"/>
        </w:rPr>
        <w:t xml:space="preserve"> </w:t>
      </w:r>
      <w:hyperlink r:id="rId137" w:history="1">
        <w:r>
          <w:rPr>
            <w:rStyle w:val="Footnote1"/>
            <w:sz w:val="20"/>
            <w:szCs w:val="20"/>
          </w:rPr>
          <w:t>https://www.sciencedirect.com/science/article/pii/S0301421525000217</w:t>
        </w:r>
      </w:hyperlink>
    </w:p>
  </w:footnote>
  <w:footnote w:id="141">
    <w:p w:rsidR="001A38FE" w:rsidRDefault="001A38FE" w:rsidP="007906A8">
      <w:pPr>
        <w:pStyle w:val="Footnote10"/>
        <w:rPr>
          <w:sz w:val="20"/>
          <w:szCs w:val="20"/>
        </w:rPr>
      </w:pPr>
      <w:bookmarkStart w:id="467" w:name="bookmark160"/>
      <w:r>
        <w:rPr>
          <w:rStyle w:val="Footnote1"/>
          <w:sz w:val="20"/>
          <w:szCs w:val="20"/>
        </w:rPr>
        <w:footnoteRef/>
      </w:r>
      <w:r>
        <w:rPr>
          <w:rStyle w:val="Footnote1"/>
          <w:sz w:val="20"/>
          <w:szCs w:val="20"/>
        </w:rPr>
        <w:t xml:space="preserve"> </w:t>
      </w:r>
      <w:hyperlink r:id="rId138" w:history="1">
        <w:r>
          <w:rPr>
            <w:rStyle w:val="Footnote1"/>
            <w:sz w:val="20"/>
            <w:szCs w:val="20"/>
          </w:rPr>
          <w:t>https://energycommunityplatform.eu/communities/ecopower/</w:t>
        </w:r>
        <w:bookmarkEnd w:id="467"/>
      </w:hyperlink>
    </w:p>
  </w:footnote>
  <w:footnote w:id="142">
    <w:p w:rsidR="001A38FE" w:rsidRDefault="001A38FE" w:rsidP="007906A8">
      <w:pPr>
        <w:pStyle w:val="Footnote10"/>
        <w:rPr>
          <w:sz w:val="20"/>
          <w:szCs w:val="20"/>
        </w:rPr>
      </w:pPr>
      <w:bookmarkStart w:id="468" w:name="bookmark161"/>
      <w:r>
        <w:rPr>
          <w:rStyle w:val="Footnote1"/>
          <w:sz w:val="20"/>
          <w:szCs w:val="20"/>
        </w:rPr>
        <w:footnoteRef/>
      </w:r>
      <w:r>
        <w:rPr>
          <w:rStyle w:val="Footnote1"/>
          <w:sz w:val="20"/>
          <w:szCs w:val="20"/>
        </w:rPr>
        <w:t xml:space="preserve"> </w:t>
      </w:r>
      <w:hyperlink r:id="rId139" w:history="1">
        <w:r>
          <w:rPr>
            <w:rStyle w:val="Footnote1"/>
            <w:sz w:val="20"/>
            <w:szCs w:val="20"/>
          </w:rPr>
          <w:t>https://www.somenergia.coop/es/welcome-to-som-energia/</w:t>
        </w:r>
        <w:bookmarkEnd w:id="468"/>
      </w:hyperlink>
    </w:p>
  </w:footnote>
  <w:footnote w:id="143">
    <w:p w:rsidR="001A38FE" w:rsidRDefault="001A38FE" w:rsidP="007906A8">
      <w:pPr>
        <w:pStyle w:val="Footnote10"/>
        <w:rPr>
          <w:sz w:val="20"/>
          <w:szCs w:val="20"/>
        </w:rPr>
      </w:pPr>
      <w:bookmarkStart w:id="469" w:name="bookmark162"/>
      <w:r>
        <w:rPr>
          <w:rStyle w:val="Footnote1"/>
          <w:sz w:val="20"/>
          <w:szCs w:val="20"/>
        </w:rPr>
        <w:footnoteRef/>
      </w:r>
      <w:r>
        <w:rPr>
          <w:rStyle w:val="Footnote1"/>
          <w:sz w:val="20"/>
          <w:szCs w:val="20"/>
        </w:rPr>
        <w:t xml:space="preserve"> </w:t>
      </w:r>
      <w:hyperlink r:id="rId140" w:history="1">
        <w:r>
          <w:rPr>
            <w:rStyle w:val="Footnote1"/>
            <w:sz w:val="20"/>
            <w:szCs w:val="20"/>
          </w:rPr>
          <w:t>https://www.energiequelle.de/en/services/project-development/citizen-participation</w:t>
        </w:r>
        <w:bookmarkEnd w:id="469"/>
      </w:hyperlink>
      <w:r>
        <w:t xml:space="preserve"> (на английски)</w:t>
      </w:r>
    </w:p>
  </w:footnote>
  <w:footnote w:id="144">
    <w:p w:rsidR="001A38FE" w:rsidRDefault="001A38FE" w:rsidP="007906A8">
      <w:pPr>
        <w:pStyle w:val="Footnote10"/>
        <w:rPr>
          <w:sz w:val="20"/>
          <w:szCs w:val="20"/>
        </w:rPr>
      </w:pPr>
      <w:bookmarkStart w:id="470" w:name="bookmark163"/>
      <w:r>
        <w:rPr>
          <w:rStyle w:val="Footnote1"/>
          <w:sz w:val="20"/>
          <w:szCs w:val="20"/>
        </w:rPr>
        <w:footnoteRef/>
      </w:r>
      <w:r>
        <w:rPr>
          <w:rStyle w:val="Footnote1"/>
          <w:sz w:val="20"/>
          <w:szCs w:val="20"/>
        </w:rPr>
        <w:t xml:space="preserve"> </w:t>
      </w:r>
      <w:hyperlink r:id="rId141" w:history="1">
        <w:r>
          <w:rPr>
            <w:rStyle w:val="Footnote1"/>
            <w:sz w:val="20"/>
            <w:szCs w:val="20"/>
          </w:rPr>
          <w:t>https://www.eon.com/en/business-customers/success-stories/hyllie-project.html</w:t>
        </w:r>
        <w:bookmarkEnd w:id="470"/>
      </w:hyperlink>
      <w:r>
        <w:t xml:space="preserve"> (на английски)</w:t>
      </w:r>
    </w:p>
  </w:footnote>
  <w:footnote w:id="145">
    <w:p w:rsidR="001A38FE" w:rsidRDefault="001A38FE" w:rsidP="007906A8">
      <w:pPr>
        <w:pStyle w:val="Footnote10"/>
        <w:rPr>
          <w:sz w:val="20"/>
          <w:szCs w:val="20"/>
        </w:rPr>
      </w:pPr>
      <w:bookmarkStart w:id="471" w:name="bookmark164"/>
      <w:r>
        <w:rPr>
          <w:rStyle w:val="Footnote1"/>
          <w:sz w:val="20"/>
          <w:szCs w:val="20"/>
        </w:rPr>
        <w:footnoteRef/>
      </w:r>
      <w:r>
        <w:rPr>
          <w:rStyle w:val="Footnote1"/>
          <w:sz w:val="20"/>
          <w:szCs w:val="20"/>
        </w:rPr>
        <w:t xml:space="preserve"> </w:t>
      </w:r>
      <w:hyperlink r:id="rId142" w:history="1">
        <w:r>
          <w:rPr>
            <w:rStyle w:val="Footnote1"/>
            <w:sz w:val="20"/>
            <w:szCs w:val="20"/>
          </w:rPr>
          <w:t>https://www.flexcoop.net/</w:t>
        </w:r>
        <w:bookmarkEnd w:id="471"/>
      </w:hyperlink>
    </w:p>
  </w:footnote>
  <w:footnote w:id="146">
    <w:p w:rsidR="001A38FE" w:rsidRDefault="001A38FE" w:rsidP="007906A8">
      <w:pPr>
        <w:pStyle w:val="Footnote10"/>
        <w:rPr>
          <w:sz w:val="20"/>
          <w:szCs w:val="20"/>
        </w:rPr>
      </w:pPr>
      <w:bookmarkStart w:id="472" w:name="bookmark165"/>
      <w:r>
        <w:rPr>
          <w:rStyle w:val="Footnote1"/>
          <w:sz w:val="20"/>
          <w:szCs w:val="20"/>
        </w:rPr>
        <w:footnoteRef/>
      </w:r>
      <w:r>
        <w:rPr>
          <w:rStyle w:val="Footnote1"/>
          <w:sz w:val="20"/>
          <w:szCs w:val="20"/>
        </w:rPr>
        <w:t xml:space="preserve"> </w:t>
      </w:r>
      <w:hyperlink r:id="rId143" w:history="1">
        <w:r>
          <w:rPr>
            <w:rStyle w:val="Footnote1"/>
            <w:sz w:val="20"/>
            <w:szCs w:val="20"/>
          </w:rPr>
          <w:t>https://buergerwerke.de/oekostrom/buergeroekostrom</w:t>
        </w:r>
        <w:bookmarkEnd w:id="472"/>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F284E"/>
    <w:multiLevelType w:val="hybridMultilevel"/>
    <w:tmpl w:val="85441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73F53"/>
    <w:multiLevelType w:val="multilevel"/>
    <w:tmpl w:val="2A4AB14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19C65D0"/>
    <w:multiLevelType w:val="multilevel"/>
    <w:tmpl w:val="3D9E35DC"/>
    <w:lvl w:ilvl="0">
      <w:start w:val="9"/>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1C459CD"/>
    <w:multiLevelType w:val="multilevel"/>
    <w:tmpl w:val="8362AD7A"/>
    <w:lvl w:ilvl="0">
      <w:start w:val="1"/>
      <w:numFmt w:val="decimal"/>
      <w:lvlText w:val="%1."/>
      <w:lvlJc w:val="left"/>
      <w:pPr>
        <w:ind w:left="720" w:hanging="360"/>
      </w:pPr>
      <w:rPr>
        <w:rFonts w:hint="default"/>
      </w:rPr>
    </w:lvl>
    <w:lvl w:ilvl="1">
      <w:start w:val="3"/>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2CA1FA2"/>
    <w:multiLevelType w:val="hybridMultilevel"/>
    <w:tmpl w:val="C6B81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F07371"/>
    <w:multiLevelType w:val="multilevel"/>
    <w:tmpl w:val="2D883E58"/>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0144AE"/>
    <w:multiLevelType w:val="hybridMultilevel"/>
    <w:tmpl w:val="08889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5145D9"/>
    <w:multiLevelType w:val="hybridMultilevel"/>
    <w:tmpl w:val="C5E2F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F06AF9"/>
    <w:multiLevelType w:val="hybridMultilevel"/>
    <w:tmpl w:val="F47C04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62C01DB"/>
    <w:multiLevelType w:val="hybridMultilevel"/>
    <w:tmpl w:val="D0D2A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6F7722"/>
    <w:multiLevelType w:val="multilevel"/>
    <w:tmpl w:val="2A34563C"/>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6EC3B63"/>
    <w:multiLevelType w:val="hybridMultilevel"/>
    <w:tmpl w:val="17DA8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A2494"/>
    <w:multiLevelType w:val="hybridMultilevel"/>
    <w:tmpl w:val="E21AB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235AA0"/>
    <w:multiLevelType w:val="hybridMultilevel"/>
    <w:tmpl w:val="DEC84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623F82"/>
    <w:multiLevelType w:val="hybridMultilevel"/>
    <w:tmpl w:val="E6E21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9AF2B2C"/>
    <w:multiLevelType w:val="hybridMultilevel"/>
    <w:tmpl w:val="FCA03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C96E0A"/>
    <w:multiLevelType w:val="hybridMultilevel"/>
    <w:tmpl w:val="721E5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8F0167"/>
    <w:multiLevelType w:val="hybridMultilevel"/>
    <w:tmpl w:val="FC529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E5C0925"/>
    <w:multiLevelType w:val="hybridMultilevel"/>
    <w:tmpl w:val="FDAEC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7C625C"/>
    <w:multiLevelType w:val="multilevel"/>
    <w:tmpl w:val="2C147522"/>
    <w:lvl w:ilvl="0">
      <w:start w:val="1"/>
      <w:numFmt w:val="decimal"/>
      <w:lvlText w:val="%1."/>
      <w:lvlJc w:val="left"/>
      <w:pPr>
        <w:ind w:left="720" w:hanging="360"/>
      </w:pPr>
    </w:lvl>
    <w:lvl w:ilvl="1">
      <w:start w:val="2"/>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0FBB25F4"/>
    <w:multiLevelType w:val="hybridMultilevel"/>
    <w:tmpl w:val="5390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EC14C6"/>
    <w:multiLevelType w:val="multilevel"/>
    <w:tmpl w:val="64848038"/>
    <w:lvl w:ilvl="0">
      <w:start w:val="3"/>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2980D3A"/>
    <w:multiLevelType w:val="multilevel"/>
    <w:tmpl w:val="5A7CD06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29D4069"/>
    <w:multiLevelType w:val="hybridMultilevel"/>
    <w:tmpl w:val="A19C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2A875D1"/>
    <w:multiLevelType w:val="multilevel"/>
    <w:tmpl w:val="696AA90A"/>
    <w:lvl w:ilvl="0">
      <w:start w:val="5"/>
      <w:numFmt w:val="decimal"/>
      <w:lvlText w:val="%1"/>
      <w:lvlJc w:val="left"/>
      <w:pPr>
        <w:ind w:left="600" w:hanging="600"/>
      </w:pPr>
      <w:rPr>
        <w:rFonts w:hint="default"/>
      </w:rPr>
    </w:lvl>
    <w:lvl w:ilvl="1">
      <w:start w:val="3"/>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13AD124A"/>
    <w:multiLevelType w:val="hybridMultilevel"/>
    <w:tmpl w:val="251E5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520FA"/>
    <w:multiLevelType w:val="hybridMultilevel"/>
    <w:tmpl w:val="1562C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5687C1D"/>
    <w:multiLevelType w:val="hybridMultilevel"/>
    <w:tmpl w:val="6F5452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57736A6"/>
    <w:multiLevelType w:val="hybridMultilevel"/>
    <w:tmpl w:val="BF221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5801655"/>
    <w:multiLevelType w:val="hybridMultilevel"/>
    <w:tmpl w:val="C5A24D7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5812318"/>
    <w:multiLevelType w:val="hybridMultilevel"/>
    <w:tmpl w:val="F672F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5A7657E"/>
    <w:multiLevelType w:val="multilevel"/>
    <w:tmpl w:val="EEF607BA"/>
    <w:lvl w:ilvl="0">
      <w:start w:val="5"/>
      <w:numFmt w:val="decimal"/>
      <w:lvlText w:val="%1"/>
      <w:lvlJc w:val="left"/>
    </w:lvl>
    <w:lvl w:ilvl="1">
      <w:start w:val="4"/>
      <w:numFmt w:val="decimal"/>
      <w:lvlText w:val="%1.%2"/>
      <w:lvlJc w:val="left"/>
      <w:rPr>
        <w:rFonts w:ascii="Times New Roman" w:eastAsia="Arial" w:hAnsi="Times New Roman" w:cs="Times New Roman" w:hint="default"/>
        <w:b w:val="0"/>
        <w:bCs w:val="0"/>
        <w:i w:val="0"/>
        <w:iCs w:val="0"/>
        <w:smallCaps w:val="0"/>
        <w:strike w:val="0"/>
        <w:color w:val="3CA8A9"/>
        <w:spacing w:val="0"/>
        <w:w w:val="100"/>
        <w:position w:val="0"/>
        <w:sz w:val="30"/>
        <w:szCs w:val="30"/>
        <w:u w:val="none"/>
        <w:shd w:val="clear" w:color="auto" w:fill="auto"/>
        <w:lang w:val="en-US" w:eastAsia="en-US" w:bidi="en-US"/>
      </w:rPr>
    </w:lvl>
    <w:lvl w:ilvl="2">
      <w:start w:val="1"/>
      <w:numFmt w:val="decimal"/>
      <w:lvlText w:val="%1.%2.%3"/>
      <w:lvlJc w:val="left"/>
      <w:rPr>
        <w:rFonts w:ascii="Times New Roman" w:eastAsia="Arial" w:hAnsi="Times New Roman" w:cs="Times New Roman" w:hint="default"/>
        <w:b w:val="0"/>
        <w:bCs w:val="0"/>
        <w:i w:val="0"/>
        <w:iCs w:val="0"/>
        <w:smallCaps w:val="0"/>
        <w:strike w:val="0"/>
        <w:color w:val="3CA8A9"/>
        <w:spacing w:val="0"/>
        <w:w w:val="100"/>
        <w:position w:val="0"/>
        <w:sz w:val="28"/>
        <w:szCs w:val="28"/>
        <w:u w:val="none"/>
        <w:shd w:val="clear" w:color="auto" w:fill="auto"/>
        <w:lang w:val="en-US" w:eastAsia="en-US" w:bidi="en-US"/>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7F2596A"/>
    <w:multiLevelType w:val="multilevel"/>
    <w:tmpl w:val="12F4961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8385CFB"/>
    <w:multiLevelType w:val="hybridMultilevel"/>
    <w:tmpl w:val="A0AC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AC36F4F"/>
    <w:multiLevelType w:val="hybridMultilevel"/>
    <w:tmpl w:val="0714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C8727FE"/>
    <w:multiLevelType w:val="hybridMultilevel"/>
    <w:tmpl w:val="F036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DB43496"/>
    <w:multiLevelType w:val="hybridMultilevel"/>
    <w:tmpl w:val="2710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FB628B"/>
    <w:multiLevelType w:val="hybridMultilevel"/>
    <w:tmpl w:val="512C6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E39387B"/>
    <w:multiLevelType w:val="multilevel"/>
    <w:tmpl w:val="275679B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EEC023C"/>
    <w:multiLevelType w:val="multilevel"/>
    <w:tmpl w:val="AEE2A066"/>
    <w:lvl w:ilvl="0">
      <w:start w:val="56"/>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EFE28BB"/>
    <w:multiLevelType w:val="hybridMultilevel"/>
    <w:tmpl w:val="7C762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F703477"/>
    <w:multiLevelType w:val="hybridMultilevel"/>
    <w:tmpl w:val="116E2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78061E"/>
    <w:multiLevelType w:val="hybridMultilevel"/>
    <w:tmpl w:val="DB7E2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FC15B6E"/>
    <w:multiLevelType w:val="multilevel"/>
    <w:tmpl w:val="CF2A1EE0"/>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05466EF"/>
    <w:multiLevelType w:val="hybridMultilevel"/>
    <w:tmpl w:val="4FB4F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1184AF9"/>
    <w:multiLevelType w:val="hybridMultilevel"/>
    <w:tmpl w:val="71BA6F54"/>
    <w:lvl w:ilvl="0" w:tplc="3A7272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1DC1E15"/>
    <w:multiLevelType w:val="multilevel"/>
    <w:tmpl w:val="8832555A"/>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4C7768"/>
    <w:multiLevelType w:val="hybridMultilevel"/>
    <w:tmpl w:val="42BED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32048F9"/>
    <w:multiLevelType w:val="hybridMultilevel"/>
    <w:tmpl w:val="BBC62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3F767F5"/>
    <w:multiLevelType w:val="multilevel"/>
    <w:tmpl w:val="DB585486"/>
    <w:lvl w:ilvl="0">
      <w:start w:val="3"/>
      <w:numFmt w:val="decimal"/>
      <w:lvlText w:val="%1"/>
      <w:lvlJc w:val="left"/>
      <w:pPr>
        <w:ind w:left="600" w:hanging="600"/>
      </w:pPr>
      <w:rPr>
        <w:rFonts w:hint="default"/>
      </w:rPr>
    </w:lvl>
    <w:lvl w:ilvl="1">
      <w:start w:val="2"/>
      <w:numFmt w:val="decimal"/>
      <w:lvlText w:val="%1.%2"/>
      <w:lvlJc w:val="left"/>
      <w:pPr>
        <w:ind w:left="780" w:hanging="600"/>
      </w:pPr>
      <w:rPr>
        <w:rFonts w:hint="default"/>
      </w:rPr>
    </w:lvl>
    <w:lvl w:ilvl="2">
      <w:start w:val="6"/>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50" w15:restartNumberingAfterBreak="0">
    <w:nsid w:val="24102CAA"/>
    <w:multiLevelType w:val="hybridMultilevel"/>
    <w:tmpl w:val="A7060AFC"/>
    <w:lvl w:ilvl="0" w:tplc="04090003">
      <w:start w:val="1"/>
      <w:numFmt w:val="bullet"/>
      <w:lvlText w:val="o"/>
      <w:lvlJc w:val="left"/>
      <w:pPr>
        <w:ind w:left="1020" w:hanging="360"/>
      </w:pPr>
      <w:rPr>
        <w:rFonts w:ascii="Courier New" w:hAnsi="Courier New" w:cs="Courier New"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51" w15:restartNumberingAfterBreak="0">
    <w:nsid w:val="25C41457"/>
    <w:multiLevelType w:val="hybridMultilevel"/>
    <w:tmpl w:val="F656F4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7437508"/>
    <w:multiLevelType w:val="hybridMultilevel"/>
    <w:tmpl w:val="05446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76E4F8C"/>
    <w:multiLevelType w:val="multilevel"/>
    <w:tmpl w:val="E966AFB0"/>
    <w:lvl w:ilvl="0">
      <w:start w:val="6"/>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80D3BAD"/>
    <w:multiLevelType w:val="hybridMultilevel"/>
    <w:tmpl w:val="4DE0E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8CC5D7E"/>
    <w:multiLevelType w:val="hybridMultilevel"/>
    <w:tmpl w:val="E3D4D9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01197E"/>
    <w:multiLevelType w:val="multilevel"/>
    <w:tmpl w:val="45A8929C"/>
    <w:lvl w:ilvl="0">
      <w:start w:val="9"/>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7" w15:restartNumberingAfterBreak="0">
    <w:nsid w:val="2D943E06"/>
    <w:multiLevelType w:val="hybridMultilevel"/>
    <w:tmpl w:val="7C427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D984D92"/>
    <w:multiLevelType w:val="multilevel"/>
    <w:tmpl w:val="1C7619B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ECF72E5"/>
    <w:multiLevelType w:val="multilevel"/>
    <w:tmpl w:val="30548D08"/>
    <w:lvl w:ilvl="0">
      <w:start w:val="6"/>
      <w:numFmt w:val="decimal"/>
      <w:lvlText w:val="%1"/>
      <w:lvlJc w:val="left"/>
      <w:pPr>
        <w:ind w:left="600" w:hanging="600"/>
      </w:pPr>
      <w:rPr>
        <w:rFonts w:hint="default"/>
        <w:u w:val="none"/>
      </w:rPr>
    </w:lvl>
    <w:lvl w:ilvl="1">
      <w:start w:val="2"/>
      <w:numFmt w:val="decimal"/>
      <w:lvlText w:val="%1.%2"/>
      <w:lvlJc w:val="left"/>
      <w:pPr>
        <w:ind w:left="600" w:hanging="60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2160" w:hanging="2160"/>
      </w:pPr>
      <w:rPr>
        <w:rFonts w:hint="default"/>
        <w:u w:val="none"/>
      </w:rPr>
    </w:lvl>
  </w:abstractNum>
  <w:abstractNum w:abstractNumId="60" w15:restartNumberingAfterBreak="0">
    <w:nsid w:val="2FD52D9A"/>
    <w:multiLevelType w:val="hybridMultilevel"/>
    <w:tmpl w:val="4FEEE7E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1CA502F"/>
    <w:multiLevelType w:val="hybridMultilevel"/>
    <w:tmpl w:val="D6C03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2657B8C"/>
    <w:multiLevelType w:val="hybridMultilevel"/>
    <w:tmpl w:val="E33CF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4596E06"/>
    <w:multiLevelType w:val="multilevel"/>
    <w:tmpl w:val="7478A3E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462486D"/>
    <w:multiLevelType w:val="hybridMultilevel"/>
    <w:tmpl w:val="593CA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DC2602"/>
    <w:multiLevelType w:val="hybridMultilevel"/>
    <w:tmpl w:val="8ACE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50667D6"/>
    <w:multiLevelType w:val="hybridMultilevel"/>
    <w:tmpl w:val="7EECA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58C6BD0"/>
    <w:multiLevelType w:val="hybridMultilevel"/>
    <w:tmpl w:val="002E4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5FA0506"/>
    <w:multiLevelType w:val="multilevel"/>
    <w:tmpl w:val="7EA85C5E"/>
    <w:lvl w:ilvl="0">
      <w:start w:val="4"/>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9" w15:restartNumberingAfterBreak="0">
    <w:nsid w:val="363D75D9"/>
    <w:multiLevelType w:val="hybridMultilevel"/>
    <w:tmpl w:val="8870A3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69D5DF6"/>
    <w:multiLevelType w:val="hybridMultilevel"/>
    <w:tmpl w:val="D092E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84315F9"/>
    <w:multiLevelType w:val="hybridMultilevel"/>
    <w:tmpl w:val="5D8AF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387E7052"/>
    <w:multiLevelType w:val="hybridMultilevel"/>
    <w:tmpl w:val="B086780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392740F4"/>
    <w:multiLevelType w:val="hybridMultilevel"/>
    <w:tmpl w:val="1632E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39AE103A"/>
    <w:multiLevelType w:val="multilevel"/>
    <w:tmpl w:val="590C9D16"/>
    <w:lvl w:ilvl="0">
      <w:start w:val="1"/>
      <w:numFmt w:val="bullet"/>
      <w:lvlText w:val="•"/>
      <w:lvlJc w:val="left"/>
      <w:rPr>
        <w:rFonts w:ascii="Arial" w:eastAsia="Arial" w:hAnsi="Arial" w:cs="Arial"/>
        <w:b w:val="0"/>
        <w:bCs w:val="0"/>
        <w:i w:val="0"/>
        <w:iCs w:val="0"/>
        <w:smallCaps w:val="0"/>
        <w:strike w:val="0"/>
        <w:color w:val="000000"/>
        <w:spacing w:val="0"/>
        <w:w w:val="100"/>
        <w:position w:val="0"/>
        <w:sz w:val="36"/>
        <w:szCs w:val="3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A6D1FEB"/>
    <w:multiLevelType w:val="hybridMultilevel"/>
    <w:tmpl w:val="36EA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A6E535A"/>
    <w:multiLevelType w:val="hybridMultilevel"/>
    <w:tmpl w:val="B2D0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A9B0BE2"/>
    <w:multiLevelType w:val="hybridMultilevel"/>
    <w:tmpl w:val="60D42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AB90EFF"/>
    <w:multiLevelType w:val="multilevel"/>
    <w:tmpl w:val="02969ECE"/>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B432FA2"/>
    <w:multiLevelType w:val="hybridMultilevel"/>
    <w:tmpl w:val="1898F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3C0E1461"/>
    <w:multiLevelType w:val="hybridMultilevel"/>
    <w:tmpl w:val="EDC67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C426C58"/>
    <w:multiLevelType w:val="hybridMultilevel"/>
    <w:tmpl w:val="67F49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CC91F62"/>
    <w:multiLevelType w:val="multilevel"/>
    <w:tmpl w:val="657CABAA"/>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D4F43FC"/>
    <w:multiLevelType w:val="multilevel"/>
    <w:tmpl w:val="24C0401E"/>
    <w:lvl w:ilvl="0">
      <w:start w:val="1"/>
      <w:numFmt w:val="decimal"/>
      <w:lvlText w:val="%1."/>
      <w:lvlJc w:val="left"/>
      <w:pPr>
        <w:ind w:left="720" w:hanging="360"/>
      </w:pPr>
    </w:lvl>
    <w:lvl w:ilvl="1">
      <w:start w:val="4"/>
      <w:numFmt w:val="decimal"/>
      <w:isLgl/>
      <w:lvlText w:val="%1.%2"/>
      <w:lvlJc w:val="left"/>
      <w:pPr>
        <w:ind w:left="1005" w:hanging="64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3DEA699E"/>
    <w:multiLevelType w:val="multilevel"/>
    <w:tmpl w:val="412A468E"/>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E0E6F04"/>
    <w:multiLevelType w:val="hybridMultilevel"/>
    <w:tmpl w:val="6EC04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F833F67"/>
    <w:multiLevelType w:val="hybridMultilevel"/>
    <w:tmpl w:val="0CCA27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15:restartNumberingAfterBreak="0">
    <w:nsid w:val="40233098"/>
    <w:multiLevelType w:val="hybridMultilevel"/>
    <w:tmpl w:val="DD1A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1360036"/>
    <w:multiLevelType w:val="hybridMultilevel"/>
    <w:tmpl w:val="85A6A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1AB7ADB"/>
    <w:multiLevelType w:val="hybridMultilevel"/>
    <w:tmpl w:val="056671A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0" w15:restartNumberingAfterBreak="0">
    <w:nsid w:val="42347AFB"/>
    <w:multiLevelType w:val="multilevel"/>
    <w:tmpl w:val="6CB26E70"/>
    <w:lvl w:ilvl="0">
      <w:start w:val="2"/>
      <w:numFmt w:val="decimal"/>
      <w:lvlText w:val="%1"/>
      <w:lvlJc w:val="left"/>
      <w:pPr>
        <w:ind w:left="375" w:hanging="375"/>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15:restartNumberingAfterBreak="0">
    <w:nsid w:val="42376C1E"/>
    <w:multiLevelType w:val="hybridMultilevel"/>
    <w:tmpl w:val="F3B6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433E6E97"/>
    <w:multiLevelType w:val="hybridMultilevel"/>
    <w:tmpl w:val="EB1C4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3F721C5"/>
    <w:multiLevelType w:val="hybridMultilevel"/>
    <w:tmpl w:val="55368C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0361E"/>
    <w:multiLevelType w:val="hybridMultilevel"/>
    <w:tmpl w:val="D206E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483076D"/>
    <w:multiLevelType w:val="multilevel"/>
    <w:tmpl w:val="122690D4"/>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4A66A21"/>
    <w:multiLevelType w:val="hybridMultilevel"/>
    <w:tmpl w:val="9F6C5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4C02F39"/>
    <w:multiLevelType w:val="hybridMultilevel"/>
    <w:tmpl w:val="AE80D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5307298"/>
    <w:multiLevelType w:val="hybridMultilevel"/>
    <w:tmpl w:val="06706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15:restartNumberingAfterBreak="0">
    <w:nsid w:val="45EE09C7"/>
    <w:multiLevelType w:val="hybridMultilevel"/>
    <w:tmpl w:val="6E0AE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5F86C0E"/>
    <w:multiLevelType w:val="hybridMultilevel"/>
    <w:tmpl w:val="554C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6903FF2"/>
    <w:multiLevelType w:val="multilevel"/>
    <w:tmpl w:val="E378106C"/>
    <w:lvl w:ilvl="0">
      <w:start w:val="3"/>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2" w15:restartNumberingAfterBreak="0">
    <w:nsid w:val="46AB6210"/>
    <w:multiLevelType w:val="hybridMultilevel"/>
    <w:tmpl w:val="8DF09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6C0793B"/>
    <w:multiLevelType w:val="hybridMultilevel"/>
    <w:tmpl w:val="7A101946"/>
    <w:lvl w:ilvl="0" w:tplc="04090003">
      <w:start w:val="1"/>
      <w:numFmt w:val="bullet"/>
      <w:lvlText w:val="o"/>
      <w:lvlJc w:val="left"/>
      <w:pPr>
        <w:ind w:left="2421" w:hanging="360"/>
      </w:pPr>
      <w:rPr>
        <w:rFonts w:ascii="Courier New" w:hAnsi="Courier New" w:cs="Courier New"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104" w15:restartNumberingAfterBreak="0">
    <w:nsid w:val="4734515F"/>
    <w:multiLevelType w:val="multilevel"/>
    <w:tmpl w:val="E3F245EA"/>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7BF1CD3"/>
    <w:multiLevelType w:val="hybridMultilevel"/>
    <w:tmpl w:val="E308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8B76033"/>
    <w:multiLevelType w:val="multilevel"/>
    <w:tmpl w:val="9C18E21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8E54A45"/>
    <w:multiLevelType w:val="multilevel"/>
    <w:tmpl w:val="E7C891F8"/>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9C96DD4"/>
    <w:multiLevelType w:val="hybridMultilevel"/>
    <w:tmpl w:val="0B24AE7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49CA05FD"/>
    <w:multiLevelType w:val="hybridMultilevel"/>
    <w:tmpl w:val="E58E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A072B3E"/>
    <w:multiLevelType w:val="multilevel"/>
    <w:tmpl w:val="5F4A35BC"/>
    <w:lvl w:ilvl="0">
      <w:start w:val="5"/>
      <w:numFmt w:val="decimal"/>
      <w:lvlText w:val="%1"/>
      <w:lvlJc w:val="left"/>
      <w:pPr>
        <w:ind w:left="375" w:hanging="37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15:restartNumberingAfterBreak="0">
    <w:nsid w:val="4A612AC5"/>
    <w:multiLevelType w:val="multilevel"/>
    <w:tmpl w:val="FD52DE5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4A6C52C1"/>
    <w:multiLevelType w:val="multilevel"/>
    <w:tmpl w:val="F71A480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13" w15:restartNumberingAfterBreak="0">
    <w:nsid w:val="4B07055F"/>
    <w:multiLevelType w:val="hybridMultilevel"/>
    <w:tmpl w:val="77F67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B47292A"/>
    <w:multiLevelType w:val="hybridMultilevel"/>
    <w:tmpl w:val="F586E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4B652584"/>
    <w:multiLevelType w:val="hybridMultilevel"/>
    <w:tmpl w:val="E3C24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4BCF1301"/>
    <w:multiLevelType w:val="multilevel"/>
    <w:tmpl w:val="0A5A956E"/>
    <w:lvl w:ilvl="0">
      <w:start w:val="4"/>
      <w:numFmt w:val="decimal"/>
      <w:lvlText w:val="%1."/>
      <w:lvlJc w:val="left"/>
      <w:rPr>
        <w:rFonts w:ascii="Times New Roman" w:eastAsia="Arial" w:hAnsi="Times New Roman" w:cs="Times New Roman" w:hint="default"/>
        <w:b w:val="0"/>
        <w:bCs w:val="0"/>
        <w:i w:val="0"/>
        <w:iCs w:val="0"/>
        <w:smallCaps w:val="0"/>
        <w:strike w:val="0"/>
        <w:color w:val="24B9C0"/>
        <w:spacing w:val="0"/>
        <w:w w:val="100"/>
        <w:position w:val="0"/>
        <w:sz w:val="32"/>
        <w:szCs w:val="3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BEC59A5"/>
    <w:multiLevelType w:val="multilevel"/>
    <w:tmpl w:val="91C00C46"/>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C2A38CE"/>
    <w:multiLevelType w:val="hybridMultilevel"/>
    <w:tmpl w:val="12827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4CA35D78"/>
    <w:multiLevelType w:val="multilevel"/>
    <w:tmpl w:val="0B20350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4E6F5080"/>
    <w:multiLevelType w:val="multilevel"/>
    <w:tmpl w:val="15EA35FE"/>
    <w:lvl w:ilvl="0">
      <w:start w:val="6"/>
      <w:numFmt w:val="decimal"/>
      <w:lvlText w:val="%1"/>
      <w:lvlJc w:val="left"/>
      <w:pPr>
        <w:ind w:left="600" w:hanging="600"/>
      </w:pPr>
      <w:rPr>
        <w:rFonts w:hint="default"/>
      </w:rPr>
    </w:lvl>
    <w:lvl w:ilvl="1">
      <w:start w:val="4"/>
      <w:numFmt w:val="decimal"/>
      <w:lvlText w:val="%1.%2"/>
      <w:lvlJc w:val="left"/>
      <w:pPr>
        <w:ind w:left="780" w:hanging="60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21" w15:restartNumberingAfterBreak="0">
    <w:nsid w:val="4FA40D2A"/>
    <w:multiLevelType w:val="hybridMultilevel"/>
    <w:tmpl w:val="89ECC824"/>
    <w:lvl w:ilvl="0" w:tplc="04090001">
      <w:start w:val="1"/>
      <w:numFmt w:val="bullet"/>
      <w:lvlText w:val=""/>
      <w:lvlJc w:val="left"/>
      <w:pPr>
        <w:ind w:left="1125" w:hanging="360"/>
      </w:pPr>
      <w:rPr>
        <w:rFonts w:ascii="Symbol" w:hAnsi="Symbol"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22" w15:restartNumberingAfterBreak="0">
    <w:nsid w:val="527D3C00"/>
    <w:multiLevelType w:val="hybridMultilevel"/>
    <w:tmpl w:val="0CA677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52E90AB3"/>
    <w:multiLevelType w:val="hybridMultilevel"/>
    <w:tmpl w:val="401E2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4A90C31"/>
    <w:multiLevelType w:val="multilevel"/>
    <w:tmpl w:val="DE46C306"/>
    <w:lvl w:ilvl="0">
      <w:start w:val="3"/>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8297625"/>
    <w:multiLevelType w:val="hybridMultilevel"/>
    <w:tmpl w:val="84122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82B32ED"/>
    <w:multiLevelType w:val="hybridMultilevel"/>
    <w:tmpl w:val="BED8D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9060831"/>
    <w:multiLevelType w:val="hybridMultilevel"/>
    <w:tmpl w:val="EBBAF49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28" w15:restartNumberingAfterBreak="0">
    <w:nsid w:val="59303FD9"/>
    <w:multiLevelType w:val="multilevel"/>
    <w:tmpl w:val="749AAC1A"/>
    <w:lvl w:ilvl="0">
      <w:start w:val="2"/>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97358E4"/>
    <w:multiLevelType w:val="hybridMultilevel"/>
    <w:tmpl w:val="619C1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9817EEE"/>
    <w:multiLevelType w:val="multilevel"/>
    <w:tmpl w:val="9F4C91CC"/>
    <w:lvl w:ilvl="0">
      <w:start w:val="1"/>
      <w:numFmt w:val="decimal"/>
      <w:lvlText w:val="%1."/>
      <w:lvlJc w:val="left"/>
      <w:pPr>
        <w:ind w:left="720" w:hanging="360"/>
      </w:pPr>
    </w:lvl>
    <w:lvl w:ilvl="1">
      <w:start w:val="3"/>
      <w:numFmt w:val="decimal"/>
      <w:isLgl/>
      <w:lvlText w:val="%1.%2"/>
      <w:lvlJc w:val="left"/>
      <w:pPr>
        <w:ind w:left="840" w:hanging="480"/>
      </w:pPr>
      <w:rPr>
        <w:rFonts w:ascii="Times New Roman" w:hAnsi="Times New Roman" w:cs="Times New Roman" w:hint="default"/>
      </w:rPr>
    </w:lvl>
    <w:lvl w:ilvl="2">
      <w:start w:val="1"/>
      <w:numFmt w:val="decimal"/>
      <w:isLgl/>
      <w:lvlText w:val="%1.%2.%3"/>
      <w:lvlJc w:val="left"/>
      <w:pPr>
        <w:ind w:left="1080" w:hanging="720"/>
      </w:pPr>
      <w:rPr>
        <w:rFonts w:ascii="Times New Roman" w:hAnsi="Times New Roman" w:cs="Times New Roman" w:hint="default"/>
      </w:rPr>
    </w:lvl>
    <w:lvl w:ilvl="3">
      <w:start w:val="1"/>
      <w:numFmt w:val="decimal"/>
      <w:isLgl/>
      <w:lvlText w:val="%1.%2.%3.%4"/>
      <w:lvlJc w:val="left"/>
      <w:pPr>
        <w:ind w:left="1080" w:hanging="720"/>
      </w:pPr>
      <w:rPr>
        <w:rFonts w:asciiTheme="majorHAnsi" w:hAnsiTheme="majorHAnsi" w:cstheme="majorBidi" w:hint="default"/>
      </w:rPr>
    </w:lvl>
    <w:lvl w:ilvl="4">
      <w:start w:val="1"/>
      <w:numFmt w:val="decimal"/>
      <w:isLgl/>
      <w:lvlText w:val="%1.%2.%3.%4.%5"/>
      <w:lvlJc w:val="left"/>
      <w:pPr>
        <w:ind w:left="1440" w:hanging="1080"/>
      </w:pPr>
      <w:rPr>
        <w:rFonts w:asciiTheme="majorHAnsi" w:hAnsiTheme="majorHAnsi" w:cstheme="majorBidi" w:hint="default"/>
      </w:rPr>
    </w:lvl>
    <w:lvl w:ilvl="5">
      <w:start w:val="1"/>
      <w:numFmt w:val="decimal"/>
      <w:isLgl/>
      <w:lvlText w:val="%1.%2.%3.%4.%5.%6"/>
      <w:lvlJc w:val="left"/>
      <w:pPr>
        <w:ind w:left="1440" w:hanging="1080"/>
      </w:pPr>
      <w:rPr>
        <w:rFonts w:asciiTheme="majorHAnsi" w:hAnsiTheme="majorHAnsi" w:cstheme="majorBidi" w:hint="default"/>
      </w:rPr>
    </w:lvl>
    <w:lvl w:ilvl="6">
      <w:start w:val="1"/>
      <w:numFmt w:val="decimal"/>
      <w:isLgl/>
      <w:lvlText w:val="%1.%2.%3.%4.%5.%6.%7"/>
      <w:lvlJc w:val="left"/>
      <w:pPr>
        <w:ind w:left="1800" w:hanging="1440"/>
      </w:pPr>
      <w:rPr>
        <w:rFonts w:asciiTheme="majorHAnsi" w:hAnsiTheme="majorHAnsi" w:cstheme="majorBidi" w:hint="default"/>
      </w:rPr>
    </w:lvl>
    <w:lvl w:ilvl="7">
      <w:start w:val="1"/>
      <w:numFmt w:val="decimal"/>
      <w:isLgl/>
      <w:lvlText w:val="%1.%2.%3.%4.%5.%6.%7.%8"/>
      <w:lvlJc w:val="left"/>
      <w:pPr>
        <w:ind w:left="1800" w:hanging="1440"/>
      </w:pPr>
      <w:rPr>
        <w:rFonts w:asciiTheme="majorHAnsi" w:hAnsiTheme="majorHAnsi" w:cstheme="majorBidi" w:hint="default"/>
      </w:rPr>
    </w:lvl>
    <w:lvl w:ilvl="8">
      <w:start w:val="1"/>
      <w:numFmt w:val="decimal"/>
      <w:isLgl/>
      <w:lvlText w:val="%1.%2.%3.%4.%5.%6.%7.%8.%9"/>
      <w:lvlJc w:val="left"/>
      <w:pPr>
        <w:ind w:left="2160" w:hanging="1800"/>
      </w:pPr>
      <w:rPr>
        <w:rFonts w:asciiTheme="majorHAnsi" w:hAnsiTheme="majorHAnsi" w:cstheme="majorBidi" w:hint="default"/>
      </w:rPr>
    </w:lvl>
  </w:abstractNum>
  <w:abstractNum w:abstractNumId="131" w15:restartNumberingAfterBreak="0">
    <w:nsid w:val="5A7B6BDB"/>
    <w:multiLevelType w:val="multilevel"/>
    <w:tmpl w:val="E8C67FB6"/>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A81586A"/>
    <w:multiLevelType w:val="multilevel"/>
    <w:tmpl w:val="21E0016A"/>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A8E3CBB"/>
    <w:multiLevelType w:val="hybridMultilevel"/>
    <w:tmpl w:val="2F680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B5D3979"/>
    <w:multiLevelType w:val="hybridMultilevel"/>
    <w:tmpl w:val="61E02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AB7C72"/>
    <w:multiLevelType w:val="hybridMultilevel"/>
    <w:tmpl w:val="D72897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15:restartNumberingAfterBreak="0">
    <w:nsid w:val="5C0337B7"/>
    <w:multiLevelType w:val="multilevel"/>
    <w:tmpl w:val="542EEC92"/>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CF43FEB"/>
    <w:multiLevelType w:val="hybridMultilevel"/>
    <w:tmpl w:val="9DA41948"/>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8" w15:restartNumberingAfterBreak="0">
    <w:nsid w:val="5DED1425"/>
    <w:multiLevelType w:val="hybridMultilevel"/>
    <w:tmpl w:val="262A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5E175F30"/>
    <w:multiLevelType w:val="multilevel"/>
    <w:tmpl w:val="F03CE6A4"/>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EB1072E"/>
    <w:multiLevelType w:val="hybridMultilevel"/>
    <w:tmpl w:val="25AA5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5EBC2BB6"/>
    <w:multiLevelType w:val="hybridMultilevel"/>
    <w:tmpl w:val="1CA2B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5EF766F8"/>
    <w:multiLevelType w:val="hybridMultilevel"/>
    <w:tmpl w:val="2C806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F9B166C"/>
    <w:multiLevelType w:val="hybridMultilevel"/>
    <w:tmpl w:val="D4369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061334B"/>
    <w:multiLevelType w:val="hybridMultilevel"/>
    <w:tmpl w:val="ED381F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06C4BC6"/>
    <w:multiLevelType w:val="multilevel"/>
    <w:tmpl w:val="475AB308"/>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12D5541"/>
    <w:multiLevelType w:val="multilevel"/>
    <w:tmpl w:val="AF3E889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19720A3"/>
    <w:multiLevelType w:val="hybridMultilevel"/>
    <w:tmpl w:val="15129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3BD0D1E"/>
    <w:multiLevelType w:val="multilevel"/>
    <w:tmpl w:val="DF7C1404"/>
    <w:lvl w:ilvl="0">
      <w:start w:val="1"/>
      <w:numFmt w:val="decimal"/>
      <w:lvlText w:val="%1."/>
      <w:lvlJc w:val="left"/>
      <w:pPr>
        <w:ind w:left="720" w:hanging="360"/>
      </w:pPr>
      <w:rPr>
        <w:rFonts w:hint="default"/>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9" w15:restartNumberingAfterBreak="0">
    <w:nsid w:val="64264035"/>
    <w:multiLevelType w:val="hybridMultilevel"/>
    <w:tmpl w:val="F1C24A1A"/>
    <w:lvl w:ilvl="0" w:tplc="0402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0" w15:restartNumberingAfterBreak="0">
    <w:nsid w:val="64293895"/>
    <w:multiLevelType w:val="hybridMultilevel"/>
    <w:tmpl w:val="FB50B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3E61C7"/>
    <w:multiLevelType w:val="hybridMultilevel"/>
    <w:tmpl w:val="BE5C55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2" w15:restartNumberingAfterBreak="0">
    <w:nsid w:val="66701A73"/>
    <w:multiLevelType w:val="multilevel"/>
    <w:tmpl w:val="B8787FF2"/>
    <w:lvl w:ilvl="0">
      <w:start w:val="7"/>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6B57DED"/>
    <w:multiLevelType w:val="hybridMultilevel"/>
    <w:tmpl w:val="66E6E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8014CC3"/>
    <w:multiLevelType w:val="hybridMultilevel"/>
    <w:tmpl w:val="3A425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68FF3E54"/>
    <w:multiLevelType w:val="multilevel"/>
    <w:tmpl w:val="D17896B8"/>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95B1F90"/>
    <w:multiLevelType w:val="multilevel"/>
    <w:tmpl w:val="2C1A6E2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698C7B12"/>
    <w:multiLevelType w:val="hybridMultilevel"/>
    <w:tmpl w:val="51907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6A494D5F"/>
    <w:multiLevelType w:val="hybridMultilevel"/>
    <w:tmpl w:val="D4264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AF61ABB"/>
    <w:multiLevelType w:val="hybridMultilevel"/>
    <w:tmpl w:val="5734C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B9173E0"/>
    <w:multiLevelType w:val="hybridMultilevel"/>
    <w:tmpl w:val="435C70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15:restartNumberingAfterBreak="0">
    <w:nsid w:val="6BBD0CE8"/>
    <w:multiLevelType w:val="hybridMultilevel"/>
    <w:tmpl w:val="91FAA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C9B3ACF"/>
    <w:multiLevelType w:val="hybridMultilevel"/>
    <w:tmpl w:val="C0481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6DF63974"/>
    <w:multiLevelType w:val="hybridMultilevel"/>
    <w:tmpl w:val="A37EB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E0C1DEF"/>
    <w:multiLevelType w:val="hybridMultilevel"/>
    <w:tmpl w:val="1DFCA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6E657439"/>
    <w:multiLevelType w:val="multilevel"/>
    <w:tmpl w:val="EA0C7A56"/>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6ED77B06"/>
    <w:multiLevelType w:val="multilevel"/>
    <w:tmpl w:val="AB402F70"/>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EE91FA0"/>
    <w:multiLevelType w:val="multilevel"/>
    <w:tmpl w:val="DFC8BF00"/>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0F820F8"/>
    <w:multiLevelType w:val="multilevel"/>
    <w:tmpl w:val="1006075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12B4069"/>
    <w:multiLevelType w:val="multilevel"/>
    <w:tmpl w:val="99305406"/>
    <w:lvl w:ilvl="0">
      <w:start w:val="76"/>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2DB1DE6"/>
    <w:multiLevelType w:val="hybridMultilevel"/>
    <w:tmpl w:val="8C422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3ED22E6"/>
    <w:multiLevelType w:val="hybridMultilevel"/>
    <w:tmpl w:val="1FB4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4A24960"/>
    <w:multiLevelType w:val="hybridMultilevel"/>
    <w:tmpl w:val="B2B0BDA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5C715CC"/>
    <w:multiLevelType w:val="hybridMultilevel"/>
    <w:tmpl w:val="AE208E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4" w15:restartNumberingAfterBreak="0">
    <w:nsid w:val="764B7D4C"/>
    <w:multiLevelType w:val="multilevel"/>
    <w:tmpl w:val="6352CABA"/>
    <w:lvl w:ilvl="0">
      <w:start w:val="6"/>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5" w15:restartNumberingAfterBreak="0">
    <w:nsid w:val="76C11961"/>
    <w:multiLevelType w:val="multilevel"/>
    <w:tmpl w:val="C43E0306"/>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83B3B96"/>
    <w:multiLevelType w:val="hybridMultilevel"/>
    <w:tmpl w:val="71DCA2DE"/>
    <w:lvl w:ilvl="0" w:tplc="C47C65A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786A3EBB"/>
    <w:multiLevelType w:val="hybridMultilevel"/>
    <w:tmpl w:val="93A4A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8A474FA"/>
    <w:multiLevelType w:val="hybridMultilevel"/>
    <w:tmpl w:val="D08E6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79202527"/>
    <w:multiLevelType w:val="multilevel"/>
    <w:tmpl w:val="0F847DE8"/>
    <w:lvl w:ilvl="0">
      <w:start w:val="1"/>
      <w:numFmt w:val="bullet"/>
      <w:lvlText w:val="-"/>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9306D1E"/>
    <w:multiLevelType w:val="multilevel"/>
    <w:tmpl w:val="A912842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9AC0D96"/>
    <w:multiLevelType w:val="multilevel"/>
    <w:tmpl w:val="AAF4F03C"/>
    <w:lvl w:ilvl="0">
      <w:start w:val="1"/>
      <w:numFmt w:val="decimal"/>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A770BC2"/>
    <w:multiLevelType w:val="hybridMultilevel"/>
    <w:tmpl w:val="A4CCA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A793524"/>
    <w:multiLevelType w:val="hybridMultilevel"/>
    <w:tmpl w:val="C1381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AED264F"/>
    <w:multiLevelType w:val="hybridMultilevel"/>
    <w:tmpl w:val="A8F65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B11132C"/>
    <w:multiLevelType w:val="hybridMultilevel"/>
    <w:tmpl w:val="5FE0A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7BAE17A2"/>
    <w:multiLevelType w:val="hybridMultilevel"/>
    <w:tmpl w:val="A72609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7" w15:restartNumberingAfterBreak="0">
    <w:nsid w:val="7BD03619"/>
    <w:multiLevelType w:val="multilevel"/>
    <w:tmpl w:val="49B04AAA"/>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EC5990"/>
    <w:multiLevelType w:val="hybridMultilevel"/>
    <w:tmpl w:val="861C4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CAF2153"/>
    <w:multiLevelType w:val="hybridMultilevel"/>
    <w:tmpl w:val="4A5E4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D713BF7"/>
    <w:multiLevelType w:val="hybridMultilevel"/>
    <w:tmpl w:val="EE802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7DC36E31"/>
    <w:multiLevelType w:val="hybridMultilevel"/>
    <w:tmpl w:val="56965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DDF282D"/>
    <w:multiLevelType w:val="hybridMultilevel"/>
    <w:tmpl w:val="FC2A70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7E455FD9"/>
    <w:multiLevelType w:val="hybridMultilevel"/>
    <w:tmpl w:val="C47EA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F3738B1"/>
    <w:multiLevelType w:val="hybridMultilevel"/>
    <w:tmpl w:val="24F4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4"/>
  </w:num>
  <w:num w:numId="2">
    <w:abstractNumId w:val="166"/>
  </w:num>
  <w:num w:numId="3">
    <w:abstractNumId w:val="46"/>
  </w:num>
  <w:num w:numId="4">
    <w:abstractNumId w:val="180"/>
  </w:num>
  <w:num w:numId="5">
    <w:abstractNumId w:val="106"/>
  </w:num>
  <w:num w:numId="6">
    <w:abstractNumId w:val="181"/>
  </w:num>
  <w:num w:numId="7">
    <w:abstractNumId w:val="168"/>
  </w:num>
  <w:num w:numId="8">
    <w:abstractNumId w:val="128"/>
  </w:num>
  <w:num w:numId="9">
    <w:abstractNumId w:val="156"/>
  </w:num>
  <w:num w:numId="10">
    <w:abstractNumId w:val="84"/>
  </w:num>
  <w:num w:numId="11">
    <w:abstractNumId w:val="21"/>
  </w:num>
  <w:num w:numId="12">
    <w:abstractNumId w:val="95"/>
  </w:num>
  <w:num w:numId="13">
    <w:abstractNumId w:val="107"/>
  </w:num>
  <w:num w:numId="14">
    <w:abstractNumId w:val="82"/>
  </w:num>
  <w:num w:numId="15">
    <w:abstractNumId w:val="43"/>
  </w:num>
  <w:num w:numId="16">
    <w:abstractNumId w:val="152"/>
  </w:num>
  <w:num w:numId="17">
    <w:abstractNumId w:val="10"/>
  </w:num>
  <w:num w:numId="18">
    <w:abstractNumId w:val="117"/>
  </w:num>
  <w:num w:numId="19">
    <w:abstractNumId w:val="22"/>
  </w:num>
  <w:num w:numId="20">
    <w:abstractNumId w:val="63"/>
  </w:num>
  <w:num w:numId="21">
    <w:abstractNumId w:val="38"/>
  </w:num>
  <w:num w:numId="22">
    <w:abstractNumId w:val="53"/>
  </w:num>
  <w:num w:numId="23">
    <w:abstractNumId w:val="116"/>
  </w:num>
  <w:num w:numId="24">
    <w:abstractNumId w:val="39"/>
  </w:num>
  <w:num w:numId="25">
    <w:abstractNumId w:val="187"/>
  </w:num>
  <w:num w:numId="26">
    <w:abstractNumId w:val="169"/>
  </w:num>
  <w:num w:numId="27">
    <w:abstractNumId w:val="165"/>
  </w:num>
  <w:num w:numId="28">
    <w:abstractNumId w:val="124"/>
  </w:num>
  <w:num w:numId="29">
    <w:abstractNumId w:val="146"/>
  </w:num>
  <w:num w:numId="30">
    <w:abstractNumId w:val="104"/>
  </w:num>
  <w:num w:numId="31">
    <w:abstractNumId w:val="78"/>
  </w:num>
  <w:num w:numId="32">
    <w:abstractNumId w:val="167"/>
  </w:num>
  <w:num w:numId="33">
    <w:abstractNumId w:val="5"/>
  </w:num>
  <w:num w:numId="34">
    <w:abstractNumId w:val="1"/>
  </w:num>
  <w:num w:numId="35">
    <w:abstractNumId w:val="179"/>
  </w:num>
  <w:num w:numId="36">
    <w:abstractNumId w:val="145"/>
  </w:num>
  <w:num w:numId="37">
    <w:abstractNumId w:val="131"/>
  </w:num>
  <w:num w:numId="38">
    <w:abstractNumId w:val="175"/>
  </w:num>
  <w:num w:numId="39">
    <w:abstractNumId w:val="58"/>
  </w:num>
  <w:num w:numId="40">
    <w:abstractNumId w:val="139"/>
  </w:num>
  <w:num w:numId="41">
    <w:abstractNumId w:val="155"/>
  </w:num>
  <w:num w:numId="42">
    <w:abstractNumId w:val="132"/>
  </w:num>
  <w:num w:numId="43">
    <w:abstractNumId w:val="136"/>
  </w:num>
  <w:num w:numId="44">
    <w:abstractNumId w:val="32"/>
  </w:num>
  <w:num w:numId="45">
    <w:abstractNumId w:val="119"/>
  </w:num>
  <w:num w:numId="46">
    <w:abstractNumId w:val="31"/>
  </w:num>
  <w:num w:numId="47">
    <w:abstractNumId w:val="129"/>
  </w:num>
  <w:num w:numId="48">
    <w:abstractNumId w:val="8"/>
  </w:num>
  <w:num w:numId="49">
    <w:abstractNumId w:val="27"/>
  </w:num>
  <w:num w:numId="50">
    <w:abstractNumId w:val="147"/>
  </w:num>
  <w:num w:numId="51">
    <w:abstractNumId w:val="112"/>
  </w:num>
  <w:num w:numId="52">
    <w:abstractNumId w:val="150"/>
  </w:num>
  <w:num w:numId="53">
    <w:abstractNumId w:val="91"/>
  </w:num>
  <w:num w:numId="54">
    <w:abstractNumId w:val="113"/>
  </w:num>
  <w:num w:numId="55">
    <w:abstractNumId w:val="92"/>
  </w:num>
  <w:num w:numId="56">
    <w:abstractNumId w:val="189"/>
  </w:num>
  <w:num w:numId="57">
    <w:abstractNumId w:val="41"/>
  </w:num>
  <w:num w:numId="58">
    <w:abstractNumId w:val="93"/>
  </w:num>
  <w:num w:numId="59">
    <w:abstractNumId w:val="105"/>
  </w:num>
  <w:num w:numId="60">
    <w:abstractNumId w:val="118"/>
  </w:num>
  <w:num w:numId="61">
    <w:abstractNumId w:val="25"/>
  </w:num>
  <w:num w:numId="62">
    <w:abstractNumId w:val="149"/>
  </w:num>
  <w:num w:numId="63">
    <w:abstractNumId w:val="137"/>
  </w:num>
  <w:num w:numId="64">
    <w:abstractNumId w:val="103"/>
  </w:num>
  <w:num w:numId="65">
    <w:abstractNumId w:val="19"/>
  </w:num>
  <w:num w:numId="66">
    <w:abstractNumId w:val="173"/>
  </w:num>
  <w:num w:numId="67">
    <w:abstractNumId w:val="121"/>
  </w:num>
  <w:num w:numId="68">
    <w:abstractNumId w:val="127"/>
  </w:num>
  <w:num w:numId="69">
    <w:abstractNumId w:val="99"/>
  </w:num>
  <w:num w:numId="70">
    <w:abstractNumId w:val="164"/>
  </w:num>
  <w:num w:numId="71">
    <w:abstractNumId w:val="65"/>
  </w:num>
  <w:num w:numId="72">
    <w:abstractNumId w:val="73"/>
  </w:num>
  <w:num w:numId="73">
    <w:abstractNumId w:val="70"/>
  </w:num>
  <w:num w:numId="74">
    <w:abstractNumId w:val="192"/>
  </w:num>
  <w:num w:numId="75">
    <w:abstractNumId w:val="86"/>
  </w:num>
  <w:num w:numId="76">
    <w:abstractNumId w:val="135"/>
  </w:num>
  <w:num w:numId="77">
    <w:abstractNumId w:val="148"/>
  </w:num>
  <w:num w:numId="78">
    <w:abstractNumId w:val="186"/>
  </w:num>
  <w:num w:numId="79">
    <w:abstractNumId w:val="69"/>
  </w:num>
  <w:num w:numId="80">
    <w:abstractNumId w:val="98"/>
  </w:num>
  <w:num w:numId="81">
    <w:abstractNumId w:val="160"/>
  </w:num>
  <w:num w:numId="82">
    <w:abstractNumId w:val="29"/>
  </w:num>
  <w:num w:numId="83">
    <w:abstractNumId w:val="67"/>
  </w:num>
  <w:num w:numId="84">
    <w:abstractNumId w:val="122"/>
  </w:num>
  <w:num w:numId="85">
    <w:abstractNumId w:val="12"/>
  </w:num>
  <w:num w:numId="86">
    <w:abstractNumId w:val="151"/>
  </w:num>
  <w:num w:numId="87">
    <w:abstractNumId w:val="130"/>
  </w:num>
  <w:num w:numId="88">
    <w:abstractNumId w:val="83"/>
  </w:num>
  <w:num w:numId="89">
    <w:abstractNumId w:val="7"/>
  </w:num>
  <w:num w:numId="90">
    <w:abstractNumId w:val="79"/>
  </w:num>
  <w:num w:numId="91">
    <w:abstractNumId w:val="185"/>
  </w:num>
  <w:num w:numId="92">
    <w:abstractNumId w:val="18"/>
  </w:num>
  <w:num w:numId="93">
    <w:abstractNumId w:val="6"/>
  </w:num>
  <w:num w:numId="94">
    <w:abstractNumId w:val="171"/>
  </w:num>
  <w:num w:numId="95">
    <w:abstractNumId w:val="141"/>
  </w:num>
  <w:num w:numId="96">
    <w:abstractNumId w:val="3"/>
  </w:num>
  <w:num w:numId="97">
    <w:abstractNumId w:val="172"/>
  </w:num>
  <w:num w:numId="98">
    <w:abstractNumId w:val="89"/>
  </w:num>
  <w:num w:numId="99">
    <w:abstractNumId w:val="33"/>
  </w:num>
  <w:num w:numId="100">
    <w:abstractNumId w:val="52"/>
  </w:num>
  <w:num w:numId="101">
    <w:abstractNumId w:val="140"/>
  </w:num>
  <w:num w:numId="102">
    <w:abstractNumId w:val="54"/>
  </w:num>
  <w:num w:numId="103">
    <w:abstractNumId w:val="153"/>
  </w:num>
  <w:num w:numId="104">
    <w:abstractNumId w:val="80"/>
  </w:num>
  <w:num w:numId="105">
    <w:abstractNumId w:val="157"/>
  </w:num>
  <w:num w:numId="106">
    <w:abstractNumId w:val="50"/>
  </w:num>
  <w:num w:numId="107">
    <w:abstractNumId w:val="4"/>
  </w:num>
  <w:num w:numId="108">
    <w:abstractNumId w:val="45"/>
  </w:num>
  <w:num w:numId="109">
    <w:abstractNumId w:val="26"/>
  </w:num>
  <w:num w:numId="110">
    <w:abstractNumId w:val="72"/>
  </w:num>
  <w:num w:numId="111">
    <w:abstractNumId w:val="75"/>
  </w:num>
  <w:num w:numId="112">
    <w:abstractNumId w:val="138"/>
  </w:num>
  <w:num w:numId="113">
    <w:abstractNumId w:val="154"/>
  </w:num>
  <w:num w:numId="114">
    <w:abstractNumId w:val="161"/>
  </w:num>
  <w:num w:numId="115">
    <w:abstractNumId w:val="97"/>
  </w:num>
  <w:num w:numId="116">
    <w:abstractNumId w:val="57"/>
  </w:num>
  <w:num w:numId="117">
    <w:abstractNumId w:val="111"/>
  </w:num>
  <w:num w:numId="118">
    <w:abstractNumId w:val="109"/>
  </w:num>
  <w:num w:numId="119">
    <w:abstractNumId w:val="85"/>
  </w:num>
  <w:num w:numId="120">
    <w:abstractNumId w:val="44"/>
  </w:num>
  <w:num w:numId="121">
    <w:abstractNumId w:val="36"/>
  </w:num>
  <w:num w:numId="122">
    <w:abstractNumId w:val="24"/>
  </w:num>
  <w:num w:numId="123">
    <w:abstractNumId w:val="76"/>
  </w:num>
  <w:num w:numId="124">
    <w:abstractNumId w:val="42"/>
  </w:num>
  <w:num w:numId="125">
    <w:abstractNumId w:val="191"/>
  </w:num>
  <w:num w:numId="126">
    <w:abstractNumId w:val="30"/>
  </w:num>
  <w:num w:numId="127">
    <w:abstractNumId w:val="20"/>
  </w:num>
  <w:num w:numId="128">
    <w:abstractNumId w:val="178"/>
  </w:num>
  <w:num w:numId="129">
    <w:abstractNumId w:val="190"/>
  </w:num>
  <w:num w:numId="130">
    <w:abstractNumId w:val="159"/>
  </w:num>
  <w:num w:numId="131">
    <w:abstractNumId w:val="133"/>
  </w:num>
  <w:num w:numId="132">
    <w:abstractNumId w:val="176"/>
  </w:num>
  <w:num w:numId="133">
    <w:abstractNumId w:val="68"/>
  </w:num>
  <w:num w:numId="134">
    <w:abstractNumId w:val="60"/>
  </w:num>
  <w:num w:numId="135">
    <w:abstractNumId w:val="64"/>
  </w:num>
  <w:num w:numId="136">
    <w:abstractNumId w:val="88"/>
  </w:num>
  <w:num w:numId="137">
    <w:abstractNumId w:val="182"/>
  </w:num>
  <w:num w:numId="138">
    <w:abstractNumId w:val="184"/>
  </w:num>
  <w:num w:numId="139">
    <w:abstractNumId w:val="170"/>
  </w:num>
  <w:num w:numId="140">
    <w:abstractNumId w:val="40"/>
  </w:num>
  <w:num w:numId="141">
    <w:abstractNumId w:val="37"/>
  </w:num>
  <w:num w:numId="142">
    <w:abstractNumId w:val="188"/>
  </w:num>
  <w:num w:numId="143">
    <w:abstractNumId w:val="48"/>
  </w:num>
  <w:num w:numId="144">
    <w:abstractNumId w:val="9"/>
  </w:num>
  <w:num w:numId="145">
    <w:abstractNumId w:val="144"/>
  </w:num>
  <w:num w:numId="146">
    <w:abstractNumId w:val="110"/>
  </w:num>
  <w:num w:numId="147">
    <w:abstractNumId w:val="114"/>
  </w:num>
  <w:num w:numId="148">
    <w:abstractNumId w:val="0"/>
  </w:num>
  <w:num w:numId="149">
    <w:abstractNumId w:val="115"/>
  </w:num>
  <w:num w:numId="150">
    <w:abstractNumId w:val="142"/>
  </w:num>
  <w:num w:numId="151">
    <w:abstractNumId w:val="126"/>
  </w:num>
  <w:num w:numId="152">
    <w:abstractNumId w:val="162"/>
  </w:num>
  <w:num w:numId="153">
    <w:abstractNumId w:val="11"/>
  </w:num>
  <w:num w:numId="154">
    <w:abstractNumId w:val="17"/>
  </w:num>
  <w:num w:numId="155">
    <w:abstractNumId w:val="51"/>
  </w:num>
  <w:num w:numId="156">
    <w:abstractNumId w:val="62"/>
  </w:num>
  <w:num w:numId="157">
    <w:abstractNumId w:val="13"/>
  </w:num>
  <w:num w:numId="158">
    <w:abstractNumId w:val="143"/>
  </w:num>
  <w:num w:numId="159">
    <w:abstractNumId w:val="134"/>
  </w:num>
  <w:num w:numId="160">
    <w:abstractNumId w:val="35"/>
  </w:num>
  <w:num w:numId="161">
    <w:abstractNumId w:val="163"/>
  </w:num>
  <w:num w:numId="162">
    <w:abstractNumId w:val="47"/>
  </w:num>
  <w:num w:numId="163">
    <w:abstractNumId w:val="14"/>
  </w:num>
  <w:num w:numId="164">
    <w:abstractNumId w:val="96"/>
  </w:num>
  <w:num w:numId="165">
    <w:abstractNumId w:val="125"/>
  </w:num>
  <w:num w:numId="166">
    <w:abstractNumId w:val="194"/>
  </w:num>
  <w:num w:numId="167">
    <w:abstractNumId w:val="123"/>
  </w:num>
  <w:num w:numId="168">
    <w:abstractNumId w:val="61"/>
  </w:num>
  <w:num w:numId="169">
    <w:abstractNumId w:val="34"/>
  </w:num>
  <w:num w:numId="170">
    <w:abstractNumId w:val="66"/>
  </w:num>
  <w:num w:numId="171">
    <w:abstractNumId w:val="177"/>
  </w:num>
  <w:num w:numId="172">
    <w:abstractNumId w:val="81"/>
  </w:num>
  <w:num w:numId="173">
    <w:abstractNumId w:val="55"/>
  </w:num>
  <w:num w:numId="174">
    <w:abstractNumId w:val="94"/>
  </w:num>
  <w:num w:numId="175">
    <w:abstractNumId w:val="102"/>
  </w:num>
  <w:num w:numId="176">
    <w:abstractNumId w:val="71"/>
  </w:num>
  <w:num w:numId="177">
    <w:abstractNumId w:val="28"/>
  </w:num>
  <w:num w:numId="178">
    <w:abstractNumId w:val="87"/>
  </w:num>
  <w:num w:numId="179">
    <w:abstractNumId w:val="158"/>
  </w:num>
  <w:num w:numId="180">
    <w:abstractNumId w:val="16"/>
  </w:num>
  <w:num w:numId="181">
    <w:abstractNumId w:val="23"/>
  </w:num>
  <w:num w:numId="182">
    <w:abstractNumId w:val="193"/>
  </w:num>
  <w:num w:numId="183">
    <w:abstractNumId w:val="49"/>
  </w:num>
  <w:num w:numId="184">
    <w:abstractNumId w:val="90"/>
  </w:num>
  <w:num w:numId="185">
    <w:abstractNumId w:val="101"/>
  </w:num>
  <w:num w:numId="186">
    <w:abstractNumId w:val="15"/>
  </w:num>
  <w:num w:numId="187">
    <w:abstractNumId w:val="174"/>
  </w:num>
  <w:num w:numId="188">
    <w:abstractNumId w:val="59"/>
  </w:num>
  <w:num w:numId="189">
    <w:abstractNumId w:val="120"/>
  </w:num>
  <w:num w:numId="190">
    <w:abstractNumId w:val="56"/>
  </w:num>
  <w:num w:numId="191">
    <w:abstractNumId w:val="2"/>
  </w:num>
  <w:num w:numId="192">
    <w:abstractNumId w:val="100"/>
  </w:num>
  <w:num w:numId="193">
    <w:abstractNumId w:val="108"/>
  </w:num>
  <w:num w:numId="194">
    <w:abstractNumId w:val="77"/>
  </w:num>
  <w:num w:numId="195">
    <w:abstractNumId w:val="183"/>
  </w:num>
  <w:numIdMacAtCleanup w:val="1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ACB"/>
    <w:rsid w:val="00025C15"/>
    <w:rsid w:val="00082BFC"/>
    <w:rsid w:val="000E0A08"/>
    <w:rsid w:val="000E257F"/>
    <w:rsid w:val="000E6421"/>
    <w:rsid w:val="000F2E2E"/>
    <w:rsid w:val="00111287"/>
    <w:rsid w:val="00116998"/>
    <w:rsid w:val="00125771"/>
    <w:rsid w:val="001351E6"/>
    <w:rsid w:val="001621FA"/>
    <w:rsid w:val="00165F08"/>
    <w:rsid w:val="00172419"/>
    <w:rsid w:val="0017315E"/>
    <w:rsid w:val="001763EF"/>
    <w:rsid w:val="001867A4"/>
    <w:rsid w:val="00195B01"/>
    <w:rsid w:val="001A0822"/>
    <w:rsid w:val="001A38FE"/>
    <w:rsid w:val="001B0EAC"/>
    <w:rsid w:val="001D47F2"/>
    <w:rsid w:val="001D4F8B"/>
    <w:rsid w:val="001D60A9"/>
    <w:rsid w:val="001F1C12"/>
    <w:rsid w:val="00215AA1"/>
    <w:rsid w:val="00265D7E"/>
    <w:rsid w:val="00275C55"/>
    <w:rsid w:val="0028216B"/>
    <w:rsid w:val="00286D9C"/>
    <w:rsid w:val="00293943"/>
    <w:rsid w:val="002C1F18"/>
    <w:rsid w:val="002E2D36"/>
    <w:rsid w:val="002E2E94"/>
    <w:rsid w:val="002E5488"/>
    <w:rsid w:val="002E7828"/>
    <w:rsid w:val="003473F6"/>
    <w:rsid w:val="00367E71"/>
    <w:rsid w:val="00367EEB"/>
    <w:rsid w:val="0037464D"/>
    <w:rsid w:val="003819B1"/>
    <w:rsid w:val="00381AD7"/>
    <w:rsid w:val="003862EB"/>
    <w:rsid w:val="003B278C"/>
    <w:rsid w:val="003D3EC8"/>
    <w:rsid w:val="003E53FC"/>
    <w:rsid w:val="00401311"/>
    <w:rsid w:val="004218D1"/>
    <w:rsid w:val="0042329D"/>
    <w:rsid w:val="0044526C"/>
    <w:rsid w:val="00456F68"/>
    <w:rsid w:val="004B2301"/>
    <w:rsid w:val="00502BB0"/>
    <w:rsid w:val="00523CC8"/>
    <w:rsid w:val="005359A4"/>
    <w:rsid w:val="00567EA3"/>
    <w:rsid w:val="00577B19"/>
    <w:rsid w:val="005A0A7F"/>
    <w:rsid w:val="005B33B6"/>
    <w:rsid w:val="005C6F49"/>
    <w:rsid w:val="006219D4"/>
    <w:rsid w:val="00632303"/>
    <w:rsid w:val="00632A77"/>
    <w:rsid w:val="00664C71"/>
    <w:rsid w:val="006971CE"/>
    <w:rsid w:val="006971D5"/>
    <w:rsid w:val="006C1A8E"/>
    <w:rsid w:val="006C356E"/>
    <w:rsid w:val="006E3233"/>
    <w:rsid w:val="006F07C3"/>
    <w:rsid w:val="0077019D"/>
    <w:rsid w:val="007727EE"/>
    <w:rsid w:val="007906A8"/>
    <w:rsid w:val="007B3C58"/>
    <w:rsid w:val="008149DE"/>
    <w:rsid w:val="00816122"/>
    <w:rsid w:val="008337BA"/>
    <w:rsid w:val="00837E73"/>
    <w:rsid w:val="00843A5F"/>
    <w:rsid w:val="0086246F"/>
    <w:rsid w:val="008730D2"/>
    <w:rsid w:val="008A21A8"/>
    <w:rsid w:val="008E6990"/>
    <w:rsid w:val="00914903"/>
    <w:rsid w:val="00955796"/>
    <w:rsid w:val="0099166B"/>
    <w:rsid w:val="009B37DC"/>
    <w:rsid w:val="009C2F3D"/>
    <w:rsid w:val="009C72EB"/>
    <w:rsid w:val="009D4C81"/>
    <w:rsid w:val="00A12DD9"/>
    <w:rsid w:val="00A14D29"/>
    <w:rsid w:val="00A15A68"/>
    <w:rsid w:val="00A5167B"/>
    <w:rsid w:val="00A53A71"/>
    <w:rsid w:val="00A57F0F"/>
    <w:rsid w:val="00A735FC"/>
    <w:rsid w:val="00A7536E"/>
    <w:rsid w:val="00A84C49"/>
    <w:rsid w:val="00A91A2A"/>
    <w:rsid w:val="00A9462C"/>
    <w:rsid w:val="00AA29BE"/>
    <w:rsid w:val="00AD373F"/>
    <w:rsid w:val="00AD64A0"/>
    <w:rsid w:val="00AE1ED0"/>
    <w:rsid w:val="00B01311"/>
    <w:rsid w:val="00B058AD"/>
    <w:rsid w:val="00B169B8"/>
    <w:rsid w:val="00B52936"/>
    <w:rsid w:val="00B7713F"/>
    <w:rsid w:val="00B91E41"/>
    <w:rsid w:val="00B977EC"/>
    <w:rsid w:val="00BA7482"/>
    <w:rsid w:val="00BE3D24"/>
    <w:rsid w:val="00C07BF3"/>
    <w:rsid w:val="00C14811"/>
    <w:rsid w:val="00C1613F"/>
    <w:rsid w:val="00C21D04"/>
    <w:rsid w:val="00C23C5E"/>
    <w:rsid w:val="00C3296D"/>
    <w:rsid w:val="00C532C2"/>
    <w:rsid w:val="00C91ACB"/>
    <w:rsid w:val="00CE6D3C"/>
    <w:rsid w:val="00CF3404"/>
    <w:rsid w:val="00CF7C45"/>
    <w:rsid w:val="00D13962"/>
    <w:rsid w:val="00D22515"/>
    <w:rsid w:val="00D22C79"/>
    <w:rsid w:val="00D356AF"/>
    <w:rsid w:val="00D76E9D"/>
    <w:rsid w:val="00DC7000"/>
    <w:rsid w:val="00DD03BF"/>
    <w:rsid w:val="00DD6AF8"/>
    <w:rsid w:val="00DF14F0"/>
    <w:rsid w:val="00E12CD0"/>
    <w:rsid w:val="00E32FA0"/>
    <w:rsid w:val="00E35D0D"/>
    <w:rsid w:val="00E45BCB"/>
    <w:rsid w:val="00E53368"/>
    <w:rsid w:val="00E54E59"/>
    <w:rsid w:val="00E65E10"/>
    <w:rsid w:val="00E66962"/>
    <w:rsid w:val="00E84278"/>
    <w:rsid w:val="00EC6B4A"/>
    <w:rsid w:val="00ED4A24"/>
    <w:rsid w:val="00EE5EB7"/>
    <w:rsid w:val="00F015E5"/>
    <w:rsid w:val="00F63736"/>
    <w:rsid w:val="00F65D1E"/>
    <w:rsid w:val="00F75B07"/>
    <w:rsid w:val="00F86089"/>
    <w:rsid w:val="00F877E9"/>
    <w:rsid w:val="00FA57D1"/>
    <w:rsid w:val="00FA6915"/>
    <w:rsid w:val="00FA7995"/>
    <w:rsid w:val="00FB0B35"/>
    <w:rsid w:val="00FC02A0"/>
    <w:rsid w:val="00FD3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DC73EA"/>
  <w15:chartTrackingRefBased/>
  <w15:docId w15:val="{84240333-50CF-43DF-8A86-3F79D7C8A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A0A7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A0A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25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17315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A0A7F"/>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A0A7F"/>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2515"/>
    <w:rPr>
      <w:rFonts w:asciiTheme="majorHAnsi" w:eastAsiaTheme="majorEastAsia" w:hAnsiTheme="majorHAnsi" w:cstheme="majorBidi"/>
      <w:color w:val="1F4D78" w:themeColor="accent1" w:themeShade="7F"/>
      <w:sz w:val="24"/>
      <w:szCs w:val="24"/>
    </w:rPr>
  </w:style>
  <w:style w:type="character" w:customStyle="1" w:styleId="Footnote1">
    <w:name w:val="Footnote|1_"/>
    <w:basedOn w:val="DefaultParagraphFont"/>
    <w:link w:val="Footnote10"/>
    <w:rsid w:val="007906A8"/>
    <w:rPr>
      <w:rFonts w:ascii="Calibri" w:eastAsia="Calibri" w:hAnsi="Calibri" w:cs="Calibri"/>
      <w:sz w:val="18"/>
      <w:szCs w:val="18"/>
    </w:rPr>
  </w:style>
  <w:style w:type="paragraph" w:customStyle="1" w:styleId="Footnote10">
    <w:name w:val="Footnote|1"/>
    <w:basedOn w:val="Normal"/>
    <w:link w:val="Footnote1"/>
    <w:rsid w:val="007906A8"/>
    <w:pPr>
      <w:widowControl w:val="0"/>
      <w:spacing w:after="0" w:line="240" w:lineRule="auto"/>
    </w:pPr>
    <w:rPr>
      <w:rFonts w:ascii="Calibri" w:eastAsia="Calibri" w:hAnsi="Calibri" w:cs="Calibri"/>
      <w:sz w:val="18"/>
      <w:szCs w:val="18"/>
    </w:rPr>
  </w:style>
  <w:style w:type="character" w:customStyle="1" w:styleId="Picturecaption1">
    <w:name w:val="Picture caption|1_"/>
    <w:basedOn w:val="DefaultParagraphFont"/>
    <w:link w:val="Picturecaption10"/>
    <w:rsid w:val="007906A8"/>
    <w:rPr>
      <w:rFonts w:ascii="Calibri" w:eastAsia="Calibri" w:hAnsi="Calibri" w:cs="Calibri"/>
      <w:i/>
      <w:iCs/>
      <w:color w:val="EBEBEB"/>
      <w:sz w:val="44"/>
      <w:szCs w:val="44"/>
    </w:rPr>
  </w:style>
  <w:style w:type="paragraph" w:customStyle="1" w:styleId="Picturecaption10">
    <w:name w:val="Picture caption|1"/>
    <w:basedOn w:val="Normal"/>
    <w:link w:val="Picturecaption1"/>
    <w:rsid w:val="007906A8"/>
    <w:pPr>
      <w:widowControl w:val="0"/>
      <w:spacing w:after="0" w:line="240" w:lineRule="auto"/>
    </w:pPr>
    <w:rPr>
      <w:rFonts w:ascii="Calibri" w:eastAsia="Calibri" w:hAnsi="Calibri" w:cs="Calibri"/>
      <w:i/>
      <w:iCs/>
      <w:color w:val="EBEBEB"/>
      <w:sz w:val="44"/>
      <w:szCs w:val="44"/>
    </w:rPr>
  </w:style>
  <w:style w:type="character" w:customStyle="1" w:styleId="Bodytext7">
    <w:name w:val="Body text|7_"/>
    <w:basedOn w:val="DefaultParagraphFont"/>
    <w:link w:val="Bodytext70"/>
    <w:rsid w:val="007906A8"/>
    <w:rPr>
      <w:rFonts w:ascii="Arial" w:eastAsia="Arial" w:hAnsi="Arial" w:cs="Arial"/>
      <w:sz w:val="28"/>
      <w:szCs w:val="28"/>
    </w:rPr>
  </w:style>
  <w:style w:type="paragraph" w:customStyle="1" w:styleId="Bodytext70">
    <w:name w:val="Body text|7"/>
    <w:basedOn w:val="Normal"/>
    <w:link w:val="Bodytext7"/>
    <w:rsid w:val="007906A8"/>
    <w:pPr>
      <w:widowControl w:val="0"/>
      <w:spacing w:after="130" w:line="240" w:lineRule="auto"/>
    </w:pPr>
    <w:rPr>
      <w:rFonts w:ascii="Arial" w:eastAsia="Arial" w:hAnsi="Arial" w:cs="Arial"/>
      <w:sz w:val="28"/>
      <w:szCs w:val="28"/>
    </w:rPr>
  </w:style>
  <w:style w:type="character" w:customStyle="1" w:styleId="Headerorfooter2">
    <w:name w:val="Header or footer|2_"/>
    <w:basedOn w:val="DefaultParagraphFont"/>
    <w:link w:val="Headerorfooter20"/>
    <w:rsid w:val="007906A8"/>
    <w:rPr>
      <w:sz w:val="20"/>
      <w:szCs w:val="20"/>
    </w:rPr>
  </w:style>
  <w:style w:type="paragraph" w:customStyle="1" w:styleId="Headerorfooter20">
    <w:name w:val="Header or footer|2"/>
    <w:basedOn w:val="Normal"/>
    <w:link w:val="Headerorfooter2"/>
    <w:rsid w:val="007906A8"/>
    <w:pPr>
      <w:widowControl w:val="0"/>
      <w:spacing w:after="0" w:line="240" w:lineRule="auto"/>
    </w:pPr>
    <w:rPr>
      <w:sz w:val="20"/>
      <w:szCs w:val="20"/>
    </w:rPr>
  </w:style>
  <w:style w:type="character" w:customStyle="1" w:styleId="Bodytext1">
    <w:name w:val="Body text|1_"/>
    <w:basedOn w:val="DefaultParagraphFont"/>
    <w:link w:val="Bodytext10"/>
    <w:rsid w:val="007906A8"/>
    <w:rPr>
      <w:rFonts w:ascii="Arial" w:eastAsia="Arial" w:hAnsi="Arial" w:cs="Arial"/>
      <w:sz w:val="20"/>
      <w:szCs w:val="20"/>
    </w:rPr>
  </w:style>
  <w:style w:type="paragraph" w:customStyle="1" w:styleId="Bodytext10">
    <w:name w:val="Body text|1"/>
    <w:basedOn w:val="Normal"/>
    <w:link w:val="Bodytext1"/>
    <w:rsid w:val="007906A8"/>
    <w:pPr>
      <w:widowControl w:val="0"/>
      <w:spacing w:after="100" w:line="307" w:lineRule="auto"/>
    </w:pPr>
    <w:rPr>
      <w:rFonts w:ascii="Arial" w:eastAsia="Arial" w:hAnsi="Arial" w:cs="Arial"/>
      <w:sz w:val="20"/>
      <w:szCs w:val="20"/>
    </w:rPr>
  </w:style>
  <w:style w:type="character" w:customStyle="1" w:styleId="Tableofcontents1">
    <w:name w:val="Table of contents|1_"/>
    <w:basedOn w:val="DefaultParagraphFont"/>
    <w:link w:val="Tableofcontents10"/>
    <w:rsid w:val="007906A8"/>
    <w:rPr>
      <w:rFonts w:ascii="Arial" w:eastAsia="Arial" w:hAnsi="Arial" w:cs="Arial"/>
      <w:sz w:val="20"/>
      <w:szCs w:val="20"/>
    </w:rPr>
  </w:style>
  <w:style w:type="paragraph" w:customStyle="1" w:styleId="Tableofcontents10">
    <w:name w:val="Table of contents|1"/>
    <w:basedOn w:val="Normal"/>
    <w:link w:val="Tableofcontents1"/>
    <w:rsid w:val="007906A8"/>
    <w:pPr>
      <w:widowControl w:val="0"/>
      <w:spacing w:after="0" w:line="360" w:lineRule="auto"/>
      <w:ind w:left="1280"/>
    </w:pPr>
    <w:rPr>
      <w:rFonts w:ascii="Arial" w:eastAsia="Arial" w:hAnsi="Arial" w:cs="Arial"/>
      <w:sz w:val="20"/>
      <w:szCs w:val="20"/>
    </w:rPr>
  </w:style>
  <w:style w:type="character" w:customStyle="1" w:styleId="Other1">
    <w:name w:val="Other|1_"/>
    <w:basedOn w:val="DefaultParagraphFont"/>
    <w:link w:val="Other10"/>
    <w:rsid w:val="007906A8"/>
    <w:rPr>
      <w:rFonts w:ascii="Arial" w:eastAsia="Arial" w:hAnsi="Arial" w:cs="Arial"/>
      <w:sz w:val="20"/>
      <w:szCs w:val="20"/>
    </w:rPr>
  </w:style>
  <w:style w:type="paragraph" w:customStyle="1" w:styleId="Other10">
    <w:name w:val="Other|1"/>
    <w:basedOn w:val="Normal"/>
    <w:link w:val="Other1"/>
    <w:rsid w:val="007906A8"/>
    <w:pPr>
      <w:widowControl w:val="0"/>
      <w:spacing w:after="100" w:line="307" w:lineRule="auto"/>
    </w:pPr>
    <w:rPr>
      <w:rFonts w:ascii="Arial" w:eastAsia="Arial" w:hAnsi="Arial" w:cs="Arial"/>
      <w:sz w:val="20"/>
      <w:szCs w:val="20"/>
    </w:rPr>
  </w:style>
  <w:style w:type="character" w:customStyle="1" w:styleId="Heading11">
    <w:name w:val="Heading #1|1_"/>
    <w:basedOn w:val="DefaultParagraphFont"/>
    <w:link w:val="Heading110"/>
    <w:rsid w:val="007906A8"/>
    <w:rPr>
      <w:rFonts w:ascii="Arial" w:eastAsia="Arial" w:hAnsi="Arial" w:cs="Arial"/>
      <w:color w:val="3CA8A9"/>
      <w:sz w:val="38"/>
      <w:szCs w:val="38"/>
    </w:rPr>
  </w:style>
  <w:style w:type="paragraph" w:customStyle="1" w:styleId="Heading110">
    <w:name w:val="Heading #1|1"/>
    <w:basedOn w:val="Normal"/>
    <w:link w:val="Heading11"/>
    <w:rsid w:val="007906A8"/>
    <w:pPr>
      <w:widowControl w:val="0"/>
      <w:spacing w:after="200" w:line="240" w:lineRule="auto"/>
      <w:outlineLvl w:val="0"/>
    </w:pPr>
    <w:rPr>
      <w:rFonts w:ascii="Arial" w:eastAsia="Arial" w:hAnsi="Arial" w:cs="Arial"/>
      <w:color w:val="3CA8A9"/>
      <w:sz w:val="38"/>
      <w:szCs w:val="38"/>
    </w:rPr>
  </w:style>
  <w:style w:type="character" w:customStyle="1" w:styleId="Heading21">
    <w:name w:val="Heading #2|1_"/>
    <w:basedOn w:val="DefaultParagraphFont"/>
    <w:link w:val="Heading210"/>
    <w:rsid w:val="007906A8"/>
    <w:rPr>
      <w:rFonts w:ascii="Arial" w:eastAsia="Arial" w:hAnsi="Arial" w:cs="Arial"/>
      <w:color w:val="3CA8A9"/>
      <w:sz w:val="28"/>
      <w:szCs w:val="28"/>
    </w:rPr>
  </w:style>
  <w:style w:type="paragraph" w:customStyle="1" w:styleId="Heading210">
    <w:name w:val="Heading #2|1"/>
    <w:basedOn w:val="Normal"/>
    <w:link w:val="Heading21"/>
    <w:rsid w:val="007906A8"/>
    <w:pPr>
      <w:widowControl w:val="0"/>
      <w:spacing w:after="60" w:line="336" w:lineRule="auto"/>
      <w:ind w:left="380" w:hanging="190"/>
      <w:outlineLvl w:val="1"/>
    </w:pPr>
    <w:rPr>
      <w:rFonts w:ascii="Arial" w:eastAsia="Arial" w:hAnsi="Arial" w:cs="Arial"/>
      <w:color w:val="3CA8A9"/>
      <w:sz w:val="28"/>
      <w:szCs w:val="28"/>
    </w:rPr>
  </w:style>
  <w:style w:type="character" w:customStyle="1" w:styleId="Bodytext4">
    <w:name w:val="Body text|4_"/>
    <w:basedOn w:val="DefaultParagraphFont"/>
    <w:link w:val="Bodytext40"/>
    <w:rsid w:val="007906A8"/>
    <w:rPr>
      <w:rFonts w:ascii="Calibri" w:eastAsia="Calibri" w:hAnsi="Calibri" w:cs="Calibri"/>
      <w:i/>
      <w:iCs/>
      <w:color w:val="3CA8A9"/>
      <w:sz w:val="44"/>
      <w:szCs w:val="44"/>
    </w:rPr>
  </w:style>
  <w:style w:type="paragraph" w:customStyle="1" w:styleId="Bodytext40">
    <w:name w:val="Body text|4"/>
    <w:basedOn w:val="Normal"/>
    <w:link w:val="Bodytext4"/>
    <w:rsid w:val="007906A8"/>
    <w:pPr>
      <w:widowControl w:val="0"/>
      <w:spacing w:after="100" w:line="240" w:lineRule="auto"/>
      <w:ind w:left="1300"/>
    </w:pPr>
    <w:rPr>
      <w:rFonts w:ascii="Calibri" w:eastAsia="Calibri" w:hAnsi="Calibri" w:cs="Calibri"/>
      <w:i/>
      <w:iCs/>
      <w:color w:val="3CA8A9"/>
      <w:sz w:val="44"/>
      <w:szCs w:val="44"/>
    </w:rPr>
  </w:style>
  <w:style w:type="character" w:customStyle="1" w:styleId="Heading31">
    <w:name w:val="Heading #3|1_"/>
    <w:basedOn w:val="DefaultParagraphFont"/>
    <w:link w:val="Heading310"/>
    <w:rsid w:val="007906A8"/>
    <w:rPr>
      <w:rFonts w:ascii="Arial" w:eastAsia="Arial" w:hAnsi="Arial" w:cs="Arial"/>
      <w:color w:val="3CA8A9"/>
      <w:sz w:val="26"/>
      <w:szCs w:val="26"/>
    </w:rPr>
  </w:style>
  <w:style w:type="paragraph" w:customStyle="1" w:styleId="Heading310">
    <w:name w:val="Heading #3|1"/>
    <w:basedOn w:val="Normal"/>
    <w:link w:val="Heading31"/>
    <w:rsid w:val="007906A8"/>
    <w:pPr>
      <w:widowControl w:val="0"/>
      <w:spacing w:after="100" w:line="240" w:lineRule="auto"/>
      <w:outlineLvl w:val="2"/>
    </w:pPr>
    <w:rPr>
      <w:rFonts w:ascii="Arial" w:eastAsia="Arial" w:hAnsi="Arial" w:cs="Arial"/>
      <w:color w:val="3CA8A9"/>
      <w:sz w:val="26"/>
      <w:szCs w:val="26"/>
    </w:rPr>
  </w:style>
  <w:style w:type="character" w:customStyle="1" w:styleId="Heading41">
    <w:name w:val="Heading #4|1_"/>
    <w:basedOn w:val="DefaultParagraphFont"/>
    <w:link w:val="Heading410"/>
    <w:rsid w:val="007906A8"/>
    <w:rPr>
      <w:rFonts w:ascii="Arial" w:eastAsia="Arial" w:hAnsi="Arial" w:cs="Arial"/>
      <w:color w:val="3CA8A9"/>
      <w:sz w:val="20"/>
      <w:szCs w:val="20"/>
    </w:rPr>
  </w:style>
  <w:style w:type="paragraph" w:customStyle="1" w:styleId="Heading410">
    <w:name w:val="Heading #4|1"/>
    <w:basedOn w:val="Normal"/>
    <w:link w:val="Heading41"/>
    <w:rsid w:val="007906A8"/>
    <w:pPr>
      <w:widowControl w:val="0"/>
      <w:spacing w:after="0" w:line="307" w:lineRule="auto"/>
      <w:outlineLvl w:val="3"/>
    </w:pPr>
    <w:rPr>
      <w:rFonts w:ascii="Arial" w:eastAsia="Arial" w:hAnsi="Arial" w:cs="Arial"/>
      <w:color w:val="3CA8A9"/>
      <w:sz w:val="20"/>
      <w:szCs w:val="20"/>
    </w:rPr>
  </w:style>
  <w:style w:type="character" w:customStyle="1" w:styleId="Bodytext8">
    <w:name w:val="Body text|8_"/>
    <w:basedOn w:val="DefaultParagraphFont"/>
    <w:link w:val="Bodytext80"/>
    <w:rsid w:val="007906A8"/>
    <w:rPr>
      <w:rFonts w:ascii="Symbol" w:eastAsia="Symbol" w:hAnsi="Symbol" w:cs="Symbol"/>
      <w:color w:val="3CA8A9"/>
    </w:rPr>
  </w:style>
  <w:style w:type="paragraph" w:customStyle="1" w:styleId="Bodytext80">
    <w:name w:val="Body text|8"/>
    <w:basedOn w:val="Normal"/>
    <w:link w:val="Bodytext8"/>
    <w:rsid w:val="007906A8"/>
    <w:pPr>
      <w:widowControl w:val="0"/>
      <w:spacing w:after="0" w:line="180" w:lineRule="auto"/>
      <w:jc w:val="right"/>
    </w:pPr>
    <w:rPr>
      <w:rFonts w:ascii="Symbol" w:eastAsia="Symbol" w:hAnsi="Symbol" w:cs="Symbol"/>
      <w:color w:val="3CA8A9"/>
    </w:rPr>
  </w:style>
  <w:style w:type="character" w:customStyle="1" w:styleId="Bodytext5">
    <w:name w:val="Body text|5_"/>
    <w:basedOn w:val="DefaultParagraphFont"/>
    <w:link w:val="Bodytext50"/>
    <w:rsid w:val="007906A8"/>
    <w:rPr>
      <w:rFonts w:ascii="Arial" w:eastAsia="Arial" w:hAnsi="Arial" w:cs="Arial"/>
      <w:color w:val="C6C6C6"/>
      <w:sz w:val="10"/>
      <w:szCs w:val="10"/>
    </w:rPr>
  </w:style>
  <w:style w:type="paragraph" w:customStyle="1" w:styleId="Bodytext50">
    <w:name w:val="Body text|5"/>
    <w:basedOn w:val="Normal"/>
    <w:link w:val="Bodytext5"/>
    <w:rsid w:val="007906A8"/>
    <w:pPr>
      <w:widowControl w:val="0"/>
      <w:spacing w:after="0" w:line="240" w:lineRule="auto"/>
    </w:pPr>
    <w:rPr>
      <w:rFonts w:ascii="Arial" w:eastAsia="Arial" w:hAnsi="Arial" w:cs="Arial"/>
      <w:color w:val="C6C6C6"/>
      <w:sz w:val="10"/>
      <w:szCs w:val="10"/>
    </w:rPr>
  </w:style>
  <w:style w:type="character" w:customStyle="1" w:styleId="Bodytext6">
    <w:name w:val="Body text|6_"/>
    <w:basedOn w:val="DefaultParagraphFont"/>
    <w:link w:val="Bodytext60"/>
    <w:rsid w:val="007906A8"/>
    <w:rPr>
      <w:rFonts w:ascii="Arial" w:eastAsia="Arial" w:hAnsi="Arial" w:cs="Arial"/>
      <w:color w:val="C6C6C6"/>
      <w:sz w:val="13"/>
      <w:szCs w:val="13"/>
    </w:rPr>
  </w:style>
  <w:style w:type="paragraph" w:customStyle="1" w:styleId="Bodytext60">
    <w:name w:val="Body text|6"/>
    <w:basedOn w:val="Normal"/>
    <w:link w:val="Bodytext6"/>
    <w:rsid w:val="007906A8"/>
    <w:pPr>
      <w:widowControl w:val="0"/>
      <w:spacing w:after="0" w:line="230" w:lineRule="auto"/>
    </w:pPr>
    <w:rPr>
      <w:rFonts w:ascii="Arial" w:eastAsia="Arial" w:hAnsi="Arial" w:cs="Arial"/>
      <w:color w:val="C6C6C6"/>
      <w:sz w:val="13"/>
      <w:szCs w:val="13"/>
    </w:rPr>
  </w:style>
  <w:style w:type="character" w:customStyle="1" w:styleId="Bodytext2">
    <w:name w:val="Body text|2_"/>
    <w:basedOn w:val="DefaultParagraphFont"/>
    <w:link w:val="Bodytext20"/>
    <w:rsid w:val="007906A8"/>
    <w:rPr>
      <w:rFonts w:ascii="Arial" w:eastAsia="Arial" w:hAnsi="Arial" w:cs="Arial"/>
      <w:sz w:val="16"/>
      <w:szCs w:val="16"/>
    </w:rPr>
  </w:style>
  <w:style w:type="paragraph" w:customStyle="1" w:styleId="Bodytext20">
    <w:name w:val="Body text|2"/>
    <w:basedOn w:val="Normal"/>
    <w:link w:val="Bodytext2"/>
    <w:rsid w:val="007906A8"/>
    <w:pPr>
      <w:widowControl w:val="0"/>
      <w:spacing w:after="180" w:line="286" w:lineRule="auto"/>
    </w:pPr>
    <w:rPr>
      <w:rFonts w:ascii="Arial" w:eastAsia="Arial" w:hAnsi="Arial" w:cs="Arial"/>
      <w:sz w:val="16"/>
      <w:szCs w:val="16"/>
    </w:rPr>
  </w:style>
  <w:style w:type="character" w:customStyle="1" w:styleId="Tablecaption1">
    <w:name w:val="Table caption|1_"/>
    <w:basedOn w:val="DefaultParagraphFont"/>
    <w:link w:val="Tablecaption10"/>
    <w:rsid w:val="007906A8"/>
    <w:rPr>
      <w:rFonts w:ascii="Arial" w:eastAsia="Arial" w:hAnsi="Arial" w:cs="Arial"/>
      <w:sz w:val="19"/>
      <w:szCs w:val="19"/>
    </w:rPr>
  </w:style>
  <w:style w:type="paragraph" w:customStyle="1" w:styleId="Tablecaption10">
    <w:name w:val="Table caption|1"/>
    <w:basedOn w:val="Normal"/>
    <w:link w:val="Tablecaption1"/>
    <w:rsid w:val="007906A8"/>
    <w:pPr>
      <w:widowControl w:val="0"/>
      <w:spacing w:after="0" w:line="240" w:lineRule="auto"/>
    </w:pPr>
    <w:rPr>
      <w:rFonts w:ascii="Arial" w:eastAsia="Arial" w:hAnsi="Arial" w:cs="Arial"/>
      <w:sz w:val="19"/>
      <w:szCs w:val="19"/>
    </w:rPr>
  </w:style>
  <w:style w:type="character" w:customStyle="1" w:styleId="Headerorfooter1">
    <w:name w:val="Header or footer|1_"/>
    <w:basedOn w:val="DefaultParagraphFont"/>
    <w:link w:val="Headerorfooter10"/>
    <w:rsid w:val="007906A8"/>
    <w:rPr>
      <w:rFonts w:ascii="Calibri" w:eastAsia="Calibri" w:hAnsi="Calibri" w:cs="Calibri"/>
    </w:rPr>
  </w:style>
  <w:style w:type="paragraph" w:customStyle="1" w:styleId="Headerorfooter10">
    <w:name w:val="Header or footer|1"/>
    <w:basedOn w:val="Normal"/>
    <w:link w:val="Headerorfooter1"/>
    <w:rsid w:val="007906A8"/>
    <w:pPr>
      <w:widowControl w:val="0"/>
      <w:spacing w:after="0" w:line="240" w:lineRule="auto"/>
      <w:jc w:val="right"/>
    </w:pPr>
    <w:rPr>
      <w:rFonts w:ascii="Calibri" w:eastAsia="Calibri" w:hAnsi="Calibri" w:cs="Calibri"/>
    </w:rPr>
  </w:style>
  <w:style w:type="character" w:customStyle="1" w:styleId="Bodytext3">
    <w:name w:val="Body text|3_"/>
    <w:basedOn w:val="DefaultParagraphFont"/>
    <w:link w:val="Bodytext30"/>
    <w:rsid w:val="007906A8"/>
    <w:rPr>
      <w:rFonts w:ascii="Calibri" w:eastAsia="Calibri" w:hAnsi="Calibri" w:cs="Calibri"/>
      <w:i/>
      <w:iCs/>
    </w:rPr>
  </w:style>
  <w:style w:type="paragraph" w:customStyle="1" w:styleId="Bodytext30">
    <w:name w:val="Body text|3"/>
    <w:basedOn w:val="Normal"/>
    <w:link w:val="Bodytext3"/>
    <w:rsid w:val="007906A8"/>
    <w:pPr>
      <w:widowControl w:val="0"/>
      <w:spacing w:after="60" w:line="240" w:lineRule="auto"/>
    </w:pPr>
    <w:rPr>
      <w:rFonts w:ascii="Calibri" w:eastAsia="Calibri" w:hAnsi="Calibri" w:cs="Calibri"/>
      <w:i/>
      <w:iCs/>
    </w:rPr>
  </w:style>
  <w:style w:type="paragraph" w:styleId="NoSpacing">
    <w:name w:val="No Spacing"/>
    <w:uiPriority w:val="1"/>
    <w:qFormat/>
    <w:rsid w:val="007906A8"/>
    <w:pPr>
      <w:widowControl w:val="0"/>
      <w:spacing w:after="0" w:line="240" w:lineRule="auto"/>
    </w:pPr>
    <w:rPr>
      <w:rFonts w:ascii="Times New Roman" w:eastAsia="Times New Roman" w:hAnsi="Times New Roman" w:cs="Times New Roman"/>
      <w:color w:val="000000"/>
      <w:sz w:val="24"/>
      <w:szCs w:val="24"/>
      <w:lang w:val="bg"/>
    </w:rPr>
  </w:style>
  <w:style w:type="character" w:styleId="Hyperlink">
    <w:name w:val="Hyperlink"/>
    <w:basedOn w:val="DefaultParagraphFont"/>
    <w:uiPriority w:val="99"/>
    <w:unhideWhenUsed/>
    <w:rsid w:val="007906A8"/>
    <w:rPr>
      <w:color w:val="0563C1" w:themeColor="hyperlink"/>
      <w:u w:val="single"/>
    </w:rPr>
  </w:style>
  <w:style w:type="paragraph" w:styleId="Header">
    <w:name w:val="header"/>
    <w:basedOn w:val="Normal"/>
    <w:link w:val="HeaderChar"/>
    <w:uiPriority w:val="99"/>
    <w:unhideWhenUsed/>
    <w:rsid w:val="007906A8"/>
    <w:pPr>
      <w:widowControl w:val="0"/>
      <w:tabs>
        <w:tab w:val="center" w:pos="4703"/>
        <w:tab w:val="right" w:pos="9406"/>
      </w:tabs>
      <w:spacing w:after="0" w:line="240" w:lineRule="auto"/>
    </w:pPr>
    <w:rPr>
      <w:rFonts w:ascii="Times New Roman" w:eastAsia="Times New Roman" w:hAnsi="Times New Roman" w:cs="Times New Roman"/>
      <w:color w:val="000000"/>
      <w:sz w:val="24"/>
      <w:szCs w:val="24"/>
      <w:lang w:val="bg"/>
    </w:rPr>
  </w:style>
  <w:style w:type="character" w:customStyle="1" w:styleId="HeaderChar">
    <w:name w:val="Header Char"/>
    <w:basedOn w:val="DefaultParagraphFont"/>
    <w:link w:val="Header"/>
    <w:uiPriority w:val="99"/>
    <w:rsid w:val="007906A8"/>
    <w:rPr>
      <w:rFonts w:ascii="Times New Roman" w:eastAsia="Times New Roman" w:hAnsi="Times New Roman" w:cs="Times New Roman"/>
      <w:color w:val="000000"/>
      <w:sz w:val="24"/>
      <w:szCs w:val="24"/>
      <w:lang w:val="bg"/>
    </w:rPr>
  </w:style>
  <w:style w:type="paragraph" w:styleId="Footer">
    <w:name w:val="footer"/>
    <w:basedOn w:val="Normal"/>
    <w:link w:val="FooterChar"/>
    <w:uiPriority w:val="99"/>
    <w:unhideWhenUsed/>
    <w:rsid w:val="007906A8"/>
    <w:pPr>
      <w:widowControl w:val="0"/>
      <w:tabs>
        <w:tab w:val="center" w:pos="4703"/>
        <w:tab w:val="right" w:pos="9406"/>
      </w:tabs>
      <w:spacing w:after="0" w:line="240" w:lineRule="auto"/>
    </w:pPr>
    <w:rPr>
      <w:rFonts w:ascii="Times New Roman" w:eastAsia="Times New Roman" w:hAnsi="Times New Roman" w:cs="Times New Roman"/>
      <w:color w:val="000000"/>
      <w:sz w:val="24"/>
      <w:szCs w:val="24"/>
      <w:lang w:val="bg"/>
    </w:rPr>
  </w:style>
  <w:style w:type="character" w:customStyle="1" w:styleId="FooterChar">
    <w:name w:val="Footer Char"/>
    <w:basedOn w:val="DefaultParagraphFont"/>
    <w:link w:val="Footer"/>
    <w:uiPriority w:val="99"/>
    <w:rsid w:val="007906A8"/>
    <w:rPr>
      <w:rFonts w:ascii="Times New Roman" w:eastAsia="Times New Roman" w:hAnsi="Times New Roman" w:cs="Times New Roman"/>
      <w:color w:val="000000"/>
      <w:sz w:val="24"/>
      <w:szCs w:val="24"/>
      <w:lang w:val="bg"/>
    </w:rPr>
  </w:style>
  <w:style w:type="character" w:styleId="CommentReference">
    <w:name w:val="annotation reference"/>
    <w:basedOn w:val="DefaultParagraphFont"/>
    <w:uiPriority w:val="99"/>
    <w:semiHidden/>
    <w:unhideWhenUsed/>
    <w:rsid w:val="005A0A7F"/>
    <w:rPr>
      <w:sz w:val="16"/>
      <w:szCs w:val="16"/>
    </w:rPr>
  </w:style>
  <w:style w:type="paragraph" w:styleId="CommentText">
    <w:name w:val="annotation text"/>
    <w:basedOn w:val="Normal"/>
    <w:link w:val="CommentTextChar"/>
    <w:uiPriority w:val="99"/>
    <w:semiHidden/>
    <w:unhideWhenUsed/>
    <w:rsid w:val="005A0A7F"/>
    <w:pPr>
      <w:spacing w:line="240" w:lineRule="auto"/>
    </w:pPr>
    <w:rPr>
      <w:sz w:val="20"/>
      <w:szCs w:val="20"/>
    </w:rPr>
  </w:style>
  <w:style w:type="character" w:customStyle="1" w:styleId="CommentTextChar">
    <w:name w:val="Comment Text Char"/>
    <w:basedOn w:val="DefaultParagraphFont"/>
    <w:link w:val="CommentText"/>
    <w:uiPriority w:val="99"/>
    <w:semiHidden/>
    <w:rsid w:val="005A0A7F"/>
    <w:rPr>
      <w:sz w:val="20"/>
      <w:szCs w:val="20"/>
    </w:rPr>
  </w:style>
  <w:style w:type="paragraph" w:styleId="CommentSubject">
    <w:name w:val="annotation subject"/>
    <w:basedOn w:val="CommentText"/>
    <w:next w:val="CommentText"/>
    <w:link w:val="CommentSubjectChar"/>
    <w:uiPriority w:val="99"/>
    <w:semiHidden/>
    <w:unhideWhenUsed/>
    <w:rsid w:val="005A0A7F"/>
    <w:rPr>
      <w:b/>
      <w:bCs/>
    </w:rPr>
  </w:style>
  <w:style w:type="character" w:customStyle="1" w:styleId="CommentSubjectChar">
    <w:name w:val="Comment Subject Char"/>
    <w:basedOn w:val="CommentTextChar"/>
    <w:link w:val="CommentSubject"/>
    <w:uiPriority w:val="99"/>
    <w:semiHidden/>
    <w:rsid w:val="005A0A7F"/>
    <w:rPr>
      <w:b/>
      <w:bCs/>
      <w:sz w:val="20"/>
      <w:szCs w:val="20"/>
    </w:rPr>
  </w:style>
  <w:style w:type="paragraph" w:styleId="BalloonText">
    <w:name w:val="Balloon Text"/>
    <w:basedOn w:val="Normal"/>
    <w:link w:val="BalloonTextChar"/>
    <w:uiPriority w:val="99"/>
    <w:semiHidden/>
    <w:unhideWhenUsed/>
    <w:rsid w:val="005A0A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0A7F"/>
    <w:rPr>
      <w:rFonts w:ascii="Segoe UI" w:hAnsi="Segoe UI" w:cs="Segoe UI"/>
      <w:sz w:val="18"/>
      <w:szCs w:val="18"/>
    </w:rPr>
  </w:style>
  <w:style w:type="paragraph" w:styleId="Revision">
    <w:name w:val="Revision"/>
    <w:hidden/>
    <w:uiPriority w:val="99"/>
    <w:semiHidden/>
    <w:rsid w:val="005A0A7F"/>
    <w:pPr>
      <w:spacing w:after="0" w:line="240" w:lineRule="auto"/>
    </w:pPr>
  </w:style>
  <w:style w:type="paragraph" w:styleId="ListParagraph">
    <w:name w:val="List Paragraph"/>
    <w:basedOn w:val="Normal"/>
    <w:uiPriority w:val="34"/>
    <w:qFormat/>
    <w:rsid w:val="006971D5"/>
    <w:pPr>
      <w:ind w:left="720"/>
      <w:contextualSpacing/>
    </w:pPr>
  </w:style>
  <w:style w:type="paragraph" w:styleId="TOCHeading">
    <w:name w:val="TOC Heading"/>
    <w:basedOn w:val="Heading1"/>
    <w:next w:val="Normal"/>
    <w:uiPriority w:val="39"/>
    <w:unhideWhenUsed/>
    <w:qFormat/>
    <w:rsid w:val="0044526C"/>
    <w:pPr>
      <w:outlineLvl w:val="9"/>
    </w:pPr>
  </w:style>
  <w:style w:type="paragraph" w:styleId="TOC1">
    <w:name w:val="toc 1"/>
    <w:basedOn w:val="Normal"/>
    <w:next w:val="Normal"/>
    <w:autoRedefine/>
    <w:uiPriority w:val="39"/>
    <w:unhideWhenUsed/>
    <w:rsid w:val="0044526C"/>
    <w:pPr>
      <w:spacing w:after="100"/>
    </w:pPr>
  </w:style>
  <w:style w:type="paragraph" w:styleId="TOC2">
    <w:name w:val="toc 2"/>
    <w:basedOn w:val="Normal"/>
    <w:next w:val="Normal"/>
    <w:autoRedefine/>
    <w:uiPriority w:val="39"/>
    <w:unhideWhenUsed/>
    <w:rsid w:val="0044526C"/>
    <w:pPr>
      <w:spacing w:after="100"/>
      <w:ind w:left="220"/>
    </w:pPr>
  </w:style>
  <w:style w:type="paragraph" w:styleId="TOC3">
    <w:name w:val="toc 3"/>
    <w:basedOn w:val="Normal"/>
    <w:next w:val="Normal"/>
    <w:autoRedefine/>
    <w:uiPriority w:val="39"/>
    <w:unhideWhenUsed/>
    <w:rsid w:val="0044526C"/>
    <w:pPr>
      <w:spacing w:after="100"/>
      <w:ind w:left="440"/>
    </w:pPr>
  </w:style>
  <w:style w:type="character" w:customStyle="1" w:styleId="Heading4Char">
    <w:name w:val="Heading 4 Char"/>
    <w:basedOn w:val="DefaultParagraphFont"/>
    <w:link w:val="Heading4"/>
    <w:uiPriority w:val="9"/>
    <w:rsid w:val="0017315E"/>
    <w:rPr>
      <w:rFonts w:asciiTheme="majorHAnsi" w:eastAsiaTheme="majorEastAsia" w:hAnsiTheme="majorHAnsi" w:cstheme="majorBidi"/>
      <w:i/>
      <w:iCs/>
      <w:color w:val="2E74B5" w:themeColor="accent1" w:themeShade="BF"/>
    </w:rPr>
  </w:style>
  <w:style w:type="paragraph" w:styleId="TOC4">
    <w:name w:val="toc 4"/>
    <w:basedOn w:val="Normal"/>
    <w:next w:val="Normal"/>
    <w:autoRedefine/>
    <w:uiPriority w:val="39"/>
    <w:unhideWhenUsed/>
    <w:rsid w:val="00A735FC"/>
    <w:pPr>
      <w:spacing w:after="100"/>
      <w:ind w:left="660"/>
    </w:pPr>
    <w:rPr>
      <w:rFonts w:eastAsiaTheme="minorEastAsia"/>
    </w:rPr>
  </w:style>
  <w:style w:type="paragraph" w:styleId="TOC5">
    <w:name w:val="toc 5"/>
    <w:basedOn w:val="Normal"/>
    <w:next w:val="Normal"/>
    <w:autoRedefine/>
    <w:uiPriority w:val="39"/>
    <w:unhideWhenUsed/>
    <w:rsid w:val="00A735FC"/>
    <w:pPr>
      <w:spacing w:after="100"/>
      <w:ind w:left="880"/>
    </w:pPr>
    <w:rPr>
      <w:rFonts w:eastAsiaTheme="minorEastAsia"/>
    </w:rPr>
  </w:style>
  <w:style w:type="paragraph" w:styleId="TOC6">
    <w:name w:val="toc 6"/>
    <w:basedOn w:val="Normal"/>
    <w:next w:val="Normal"/>
    <w:autoRedefine/>
    <w:uiPriority w:val="39"/>
    <w:unhideWhenUsed/>
    <w:rsid w:val="00A735FC"/>
    <w:pPr>
      <w:spacing w:after="100"/>
      <w:ind w:left="1100"/>
    </w:pPr>
    <w:rPr>
      <w:rFonts w:eastAsiaTheme="minorEastAsia"/>
    </w:rPr>
  </w:style>
  <w:style w:type="paragraph" w:styleId="TOC7">
    <w:name w:val="toc 7"/>
    <w:basedOn w:val="Normal"/>
    <w:next w:val="Normal"/>
    <w:autoRedefine/>
    <w:uiPriority w:val="39"/>
    <w:unhideWhenUsed/>
    <w:rsid w:val="00A735FC"/>
    <w:pPr>
      <w:spacing w:after="100"/>
      <w:ind w:left="1320"/>
    </w:pPr>
    <w:rPr>
      <w:rFonts w:eastAsiaTheme="minorEastAsia"/>
    </w:rPr>
  </w:style>
  <w:style w:type="paragraph" w:styleId="TOC8">
    <w:name w:val="toc 8"/>
    <w:basedOn w:val="Normal"/>
    <w:next w:val="Normal"/>
    <w:autoRedefine/>
    <w:uiPriority w:val="39"/>
    <w:unhideWhenUsed/>
    <w:rsid w:val="00A735FC"/>
    <w:pPr>
      <w:spacing w:after="100"/>
      <w:ind w:left="1540"/>
    </w:pPr>
    <w:rPr>
      <w:rFonts w:eastAsiaTheme="minorEastAsia"/>
    </w:rPr>
  </w:style>
  <w:style w:type="paragraph" w:styleId="TOC9">
    <w:name w:val="toc 9"/>
    <w:basedOn w:val="Normal"/>
    <w:next w:val="Normal"/>
    <w:autoRedefine/>
    <w:uiPriority w:val="39"/>
    <w:unhideWhenUsed/>
    <w:rsid w:val="00A735FC"/>
    <w:pPr>
      <w:spacing w:after="100"/>
      <w:ind w:left="1760"/>
    </w:pPr>
    <w:rPr>
      <w:rFonts w:eastAsiaTheme="minorEastAsia"/>
    </w:rPr>
  </w:style>
  <w:style w:type="character" w:styleId="LineNumber">
    <w:name w:val="line number"/>
    <w:basedOn w:val="DefaultParagraphFont"/>
    <w:uiPriority w:val="99"/>
    <w:semiHidden/>
    <w:unhideWhenUsed/>
    <w:rsid w:val="00C21D04"/>
  </w:style>
  <w:style w:type="paragraph" w:styleId="EndnoteText">
    <w:name w:val="endnote text"/>
    <w:basedOn w:val="Normal"/>
    <w:link w:val="EndnoteTextChar"/>
    <w:uiPriority w:val="99"/>
    <w:semiHidden/>
    <w:unhideWhenUsed/>
    <w:rsid w:val="00A84C4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84C49"/>
    <w:rPr>
      <w:sz w:val="20"/>
      <w:szCs w:val="20"/>
    </w:rPr>
  </w:style>
  <w:style w:type="character" w:styleId="EndnoteReference">
    <w:name w:val="endnote reference"/>
    <w:basedOn w:val="DefaultParagraphFont"/>
    <w:uiPriority w:val="99"/>
    <w:semiHidden/>
    <w:unhideWhenUsed/>
    <w:rsid w:val="00A84C49"/>
    <w:rPr>
      <w:vertAlign w:val="superscript"/>
    </w:rPr>
  </w:style>
  <w:style w:type="paragraph" w:styleId="FootnoteText">
    <w:name w:val="footnote text"/>
    <w:basedOn w:val="Normal"/>
    <w:link w:val="FootnoteTextChar"/>
    <w:uiPriority w:val="99"/>
    <w:semiHidden/>
    <w:unhideWhenUsed/>
    <w:rsid w:val="00A84C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84C49"/>
    <w:rPr>
      <w:sz w:val="20"/>
      <w:szCs w:val="20"/>
    </w:rPr>
  </w:style>
  <w:style w:type="character" w:styleId="FootnoteReference">
    <w:name w:val="footnote reference"/>
    <w:basedOn w:val="DefaultParagraphFont"/>
    <w:uiPriority w:val="99"/>
    <w:semiHidden/>
    <w:unhideWhenUsed/>
    <w:rsid w:val="00A84C49"/>
    <w:rPr>
      <w:vertAlign w:val="superscript"/>
    </w:rPr>
  </w:style>
  <w:style w:type="character" w:styleId="FollowedHyperlink">
    <w:name w:val="FollowedHyperlink"/>
    <w:basedOn w:val="DefaultParagraphFont"/>
    <w:uiPriority w:val="99"/>
    <w:semiHidden/>
    <w:unhideWhenUsed/>
    <w:rsid w:val="001A0822"/>
    <w:rPr>
      <w:color w:val="954F72" w:themeColor="followedHyperlink"/>
      <w:u w:val="single"/>
    </w:rPr>
  </w:style>
  <w:style w:type="paragraph" w:styleId="HTMLPreformatted">
    <w:name w:val="HTML Preformatted"/>
    <w:basedOn w:val="Normal"/>
    <w:link w:val="HTMLPreformattedChar"/>
    <w:uiPriority w:val="99"/>
    <w:semiHidden/>
    <w:unhideWhenUsed/>
    <w:rsid w:val="00E65E10"/>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E65E10"/>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2740">
      <w:bodyDiv w:val="1"/>
      <w:marLeft w:val="0"/>
      <w:marRight w:val="0"/>
      <w:marTop w:val="0"/>
      <w:marBottom w:val="0"/>
      <w:divBdr>
        <w:top w:val="none" w:sz="0" w:space="0" w:color="auto"/>
        <w:left w:val="none" w:sz="0" w:space="0" w:color="auto"/>
        <w:bottom w:val="none" w:sz="0" w:space="0" w:color="auto"/>
        <w:right w:val="none" w:sz="0" w:space="0" w:color="auto"/>
      </w:divBdr>
    </w:div>
    <w:div w:id="1841119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lex.bg/laws/ldoc/2134696966" TargetMode="External"/><Relationship Id="rId42" Type="http://schemas.openxmlformats.org/officeDocument/2006/relationships/footer" Target="footer5.xml"/><Relationship Id="rId47" Type="http://schemas.openxmlformats.org/officeDocument/2006/relationships/image" Target="media/image15.jpeg"/><Relationship Id="rId63" Type="http://schemas.openxmlformats.org/officeDocument/2006/relationships/image" Target="media/image22.jpeg"/><Relationship Id="rId68" Type="http://schemas.openxmlformats.org/officeDocument/2006/relationships/footer" Target="footer11.xml"/><Relationship Id="rId2" Type="http://schemas.openxmlformats.org/officeDocument/2006/relationships/numbering" Target="numbering.xml"/><Relationship Id="rId16" Type="http://schemas.openxmlformats.org/officeDocument/2006/relationships/hyperlink" Target="https://lex.bg/laws/ldoc/2136150122" TargetMode="External"/><Relationship Id="rId29" Type="http://schemas.openxmlformats.org/officeDocument/2006/relationships/image" Target="media/image8.jpeg"/><Relationship Id="rId11" Type="http://schemas.openxmlformats.org/officeDocument/2006/relationships/hyperlink" Target="https://lex.bg/laws/ldoc/2135728864" TargetMode="External"/><Relationship Id="rId24" Type="http://schemas.openxmlformats.org/officeDocument/2006/relationships/image" Target="media/image3.jpeg"/><Relationship Id="rId32" Type="http://schemas.openxmlformats.org/officeDocument/2006/relationships/image" Target="media/image9.jpeg"/><Relationship Id="rId37" Type="http://schemas.openxmlformats.org/officeDocument/2006/relationships/hyperlink" Target="https://www.marktstammdatenregister.de/" TargetMode="External"/><Relationship Id="rId40" Type="http://schemas.openxmlformats.org/officeDocument/2006/relationships/image" Target="media/image14.jpeg"/><Relationship Id="rId45" Type="http://schemas.openxmlformats.org/officeDocument/2006/relationships/footer" Target="footer8.xml"/><Relationship Id="rId53" Type="http://schemas.openxmlformats.org/officeDocument/2006/relationships/hyperlink" Target="https://www.clamav.net/" TargetMode="External"/><Relationship Id="rId58" Type="http://schemas.openxmlformats.org/officeDocument/2006/relationships/hyperlink" Target="https://community.openems.io/" TargetMode="External"/><Relationship Id="rId66" Type="http://schemas.openxmlformats.org/officeDocument/2006/relationships/image" Target="media/image25.jpeg"/><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s://lex.bg/laws/ldoc/2135163904" TargetMode="External"/><Relationship Id="rId14" Type="http://schemas.openxmlformats.org/officeDocument/2006/relationships/hyperlink" Target="https://lex.bg/bg/laws/ldoc/2135960284" TargetMode="External"/><Relationship Id="rId22" Type="http://schemas.openxmlformats.org/officeDocument/2006/relationships/hyperlink" Target="https://lex.bg/laws/ldoc/2134942720" TargetMode="External"/><Relationship Id="rId27" Type="http://schemas.openxmlformats.org/officeDocument/2006/relationships/image" Target="media/image6.jpeg"/><Relationship Id="rId30" Type="http://schemas.openxmlformats.org/officeDocument/2006/relationships/footer" Target="footer1.xml"/><Relationship Id="rId35" Type="http://schemas.openxmlformats.org/officeDocument/2006/relationships/image" Target="media/image10.jpeg"/><Relationship Id="rId43" Type="http://schemas.openxmlformats.org/officeDocument/2006/relationships/footer" Target="footer6.xml"/><Relationship Id="rId48" Type="http://schemas.openxmlformats.org/officeDocument/2006/relationships/image" Target="media/image16.jpeg"/><Relationship Id="rId56" Type="http://schemas.openxmlformats.org/officeDocument/2006/relationships/hyperlink" Target="https://openems.io/association/" TargetMode="External"/><Relationship Id="rId64" Type="http://schemas.openxmlformats.org/officeDocument/2006/relationships/image" Target="media/image23.jpeg"/><Relationship Id="rId69" Type="http://schemas.openxmlformats.org/officeDocument/2006/relationships/image" Target="media/image26.png"/><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ex.bg/laws/ldoc/2135728864" TargetMode="External"/><Relationship Id="rId17" Type="http://schemas.openxmlformats.org/officeDocument/2006/relationships/hyperlink" Target="https://lex.bg/laws/ldoc/2136150122" TargetMode="External"/><Relationship Id="rId25" Type="http://schemas.openxmlformats.org/officeDocument/2006/relationships/image" Target="media/image4.jpeg"/><Relationship Id="rId33" Type="http://schemas.openxmlformats.org/officeDocument/2006/relationships/footer" Target="footer3.xml"/><Relationship Id="rId38" Type="http://schemas.openxmlformats.org/officeDocument/2006/relationships/image" Target="media/image12.jpeg"/><Relationship Id="rId46" Type="http://schemas.openxmlformats.org/officeDocument/2006/relationships/footer" Target="footer9.xml"/><Relationship Id="rId59" Type="http://schemas.openxmlformats.org/officeDocument/2006/relationships/hyperlink" Target="https://gitpod.io/%23https://github.com/OpenEMS/openems" TargetMode="External"/><Relationship Id="rId67" Type="http://schemas.openxmlformats.org/officeDocument/2006/relationships/footer" Target="footer10.xml"/><Relationship Id="rId20" Type="http://schemas.openxmlformats.org/officeDocument/2006/relationships/hyperlink" Target="https://lex.bg/laws/ldoc/2135614516" TargetMode="External"/><Relationship Id="rId41" Type="http://schemas.openxmlformats.org/officeDocument/2006/relationships/hyperlink" Target="https://www.e-control.at/international/energy-community" TargetMode="External"/><Relationship Id="rId54" Type="http://schemas.openxmlformats.org/officeDocument/2006/relationships/image" Target="media/image19.jpeg"/><Relationship Id="rId62" Type="http://schemas.openxmlformats.org/officeDocument/2006/relationships/image" Target="media/image21.png"/><Relationship Id="rId70" Type="http://schemas.openxmlformats.org/officeDocument/2006/relationships/footer" Target="footer1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ex.bg/bg/laws/ldoc/2135960284" TargetMode="External"/><Relationship Id="rId23" Type="http://schemas.openxmlformats.org/officeDocument/2006/relationships/hyperlink" Target="http://www.seea.government.bg" TargetMode="External"/><Relationship Id="rId28" Type="http://schemas.openxmlformats.org/officeDocument/2006/relationships/image" Target="media/image7.jpeg"/><Relationship Id="rId36" Type="http://schemas.openxmlformats.org/officeDocument/2006/relationships/image" Target="media/image11.jpeg"/><Relationship Id="rId49" Type="http://schemas.openxmlformats.org/officeDocument/2006/relationships/image" Target="media/image17.png"/><Relationship Id="rId57" Type="http://schemas.openxmlformats.org/officeDocument/2006/relationships/hyperlink" Target="https://openems.github.io/openems.io/openems/latest/introduction.html" TargetMode="External"/><Relationship Id="rId10" Type="http://schemas.openxmlformats.org/officeDocument/2006/relationships/hyperlink" Target="https://lex.bg/laws/ldoc/2135475623" TargetMode="External"/><Relationship Id="rId31" Type="http://schemas.openxmlformats.org/officeDocument/2006/relationships/footer" Target="footer2.xml"/><Relationship Id="rId44" Type="http://schemas.openxmlformats.org/officeDocument/2006/relationships/footer" Target="footer7.xml"/><Relationship Id="rId52" Type="http://schemas.openxmlformats.org/officeDocument/2006/relationships/hyperlink" Target="https://letsencrypt.org/" TargetMode="External"/><Relationship Id="rId60" Type="http://schemas.openxmlformats.org/officeDocument/2006/relationships/hyperlink" Target="https://openems.github.io/openems.io/openems/latest/introduction.html" TargetMode="External"/><Relationship Id="rId65" Type="http://schemas.openxmlformats.org/officeDocument/2006/relationships/image" Target="media/image24.jpe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lex.bg/en/laws/ldoc/2135874279" TargetMode="External"/><Relationship Id="rId18" Type="http://schemas.openxmlformats.org/officeDocument/2006/relationships/hyperlink" Target="https://lex.bg/laws/ldoc/2136150122" TargetMode="External"/><Relationship Id="rId39" Type="http://schemas.openxmlformats.org/officeDocument/2006/relationships/image" Target="media/image13.jpeg"/><Relationship Id="rId34" Type="http://schemas.openxmlformats.org/officeDocument/2006/relationships/footer" Target="footer4.xml"/><Relationship Id="rId50" Type="http://schemas.openxmlformats.org/officeDocument/2006/relationships/hyperlink" Target="http://ec-hub.org/" TargetMode="External"/><Relationship Id="rId55" Type="http://schemas.openxmlformats.org/officeDocument/2006/relationships/hyperlink" Target="https://github.com/OpenEMS/openems" TargetMode="External"/><Relationship Id="rId7" Type="http://schemas.openxmlformats.org/officeDocument/2006/relationships/endnotes" Target="endnotes.xml"/><Relationship Id="rId71" Type="http://schemas.openxmlformats.org/officeDocument/2006/relationships/footer" Target="footer13.xml"/></Relationships>
</file>

<file path=word/_rels/footnotes.xml.rels><?xml version="1.0" encoding="UTF-8" standalone="yes"?>
<Relationships xmlns="http://schemas.openxmlformats.org/package/2006/relationships"><Relationship Id="rId117" Type="http://schemas.openxmlformats.org/officeDocument/2006/relationships/hyperlink" Target="https://eliq.com/blog/meet-linky-frances-smart-meter-which-talks-to-consumers-through-our-utility-apps/" TargetMode="External"/><Relationship Id="rId21" Type="http://schemas.openxmlformats.org/officeDocument/2006/relationships/hyperlink" Target="https://www.nve.no/reguleringsmyndigheten/kunde/stroemnettet/prosumenter-og-plusskunder/modell-for-deling-av-overskuddsproduksjon/" TargetMode="External"/><Relationship Id="rId42" Type="http://schemas.openxmlformats.org/officeDocument/2006/relationships/hyperlink" Target="https://nodesmarket.com/euroflex/" TargetMode="External"/><Relationship Id="rId63" Type="http://schemas.openxmlformats.org/officeDocument/2006/relationships/hyperlink" Target="https://www.rescoop.eu/policy/transposition-tracker/enabling-frameworks-support-schemes/italy?utm_source=chatgpt.com" TargetMode="External"/><Relationship Id="rId84" Type="http://schemas.openxmlformats.org/officeDocument/2006/relationships/hyperlink" Target="https://energiegemeinschaften.gv.at/" TargetMode="External"/><Relationship Id="rId138" Type="http://schemas.openxmlformats.org/officeDocument/2006/relationships/hyperlink" Target="https://energycommunityplatform.eu/communities/ecopower/" TargetMode="External"/><Relationship Id="rId107" Type="http://schemas.openxmlformats.org/officeDocument/2006/relationships/hyperlink" Target="https://github.com/loomio/loomio/blob/master/DEVSETUP.md" TargetMode="External"/><Relationship Id="rId11" Type="http://schemas.openxmlformats.org/officeDocument/2006/relationships/hyperlink" Target="https://wayback.archive-it.org/12090/20240807073925/https:/energy-communities-repository.ec.europa.eu/energy-communities-repository-legal-frameworks/energy-communities-repository-policy-database_en" TargetMode="External"/><Relationship Id="rId32" Type="http://schemas.openxmlformats.org/officeDocument/2006/relationships/hyperlink" Target="https://www.nordicenergyregulators.org/wp-content/uploads/2017/05/5.-Network-losses-in-the-regulation-Norway.pdf" TargetMode="External"/><Relationship Id="rId37" Type="http://schemas.openxmlformats.org/officeDocument/2006/relationships/hyperlink" Target="https://www.statnett.no/en/for-stakeholders-in-the-power-industry/the-grid-connection-process/" TargetMode="External"/><Relationship Id="rId53" Type="http://schemas.openxmlformats.org/officeDocument/2006/relationships/hyperlink" Target="https://www.bundesnetzagentur.de/EN/Areas/Energy/CoreEnergyMarketDataRegister/start.html?utm_source=chatgpt.com" TargetMode="External"/><Relationship Id="rId58" Type="http://schemas.openxmlformats.org/officeDocument/2006/relationships/hyperlink" Target="https://cler.org/decret-communautes-energetiques/?utm_source=chatgpt.com" TargetMode="External"/><Relationship Id="rId74" Type="http://schemas.openxmlformats.org/officeDocument/2006/relationships/hyperlink" Target="https://cler.org/adherer-2/" TargetMode="External"/><Relationship Id="rId79" Type="http://schemas.openxmlformats.org/officeDocument/2006/relationships/hyperlink" Target="https://interoperable-europe.ec.europa.eu/sites/default/files/inline-files/OSS%20Country%20Intelligence%20Report_NO_0.pdf" TargetMode="External"/><Relationship Id="rId102" Type="http://schemas.openxmlformats.org/officeDocument/2006/relationships/hyperlink" Target="https://memcached.org/" TargetMode="External"/><Relationship Id="rId123" Type="http://schemas.openxmlformats.org/officeDocument/2006/relationships/hyperlink" Target="https://clean-energy-islands.ec.europa.eu/countries/germany/legal/community-energy-policies/energy-communities-energy-cooperatives-energy" TargetMode="External"/><Relationship Id="rId128" Type="http://schemas.openxmlformats.org/officeDocument/2006/relationships/hyperlink" Target="https://pub.norden.org/nordicenergyresearch2023-03/denmark" TargetMode="External"/><Relationship Id="rId5" Type="http://schemas.openxmlformats.org/officeDocument/2006/relationships/hyperlink" Target="https://eur-lex.europa.eu/eli/dir/2018/2001/oj/eng" TargetMode="External"/><Relationship Id="rId90" Type="http://schemas.openxmlformats.org/officeDocument/2006/relationships/hyperlink" Target="https://keepass.info/" TargetMode="External"/><Relationship Id="rId95" Type="http://schemas.openxmlformats.org/officeDocument/2006/relationships/hyperlink" Target="https://wiki.debian.org/UnattendedUpgrades" TargetMode="External"/><Relationship Id="rId22" Type="http://schemas.openxmlformats.org/officeDocument/2006/relationships/hyperlink" Target="https://www.nve.no/reguleringsmyndigheten/kunde/stroemnettet/prosumenter-og-plusskunder/modell-for-deling-av-overskuddsproduksjon/" TargetMode="External"/><Relationship Id="rId27" Type="http://schemas.openxmlformats.org/officeDocument/2006/relationships/hyperlink" Target="https://www.nordicenergyregulators.org/wp-content/uploads/2015/06/THEMA-Report-2015-02-Mapping-of-TSO-and-DSO-responsibilities-related-to-information-exchange.pdf" TargetMode="External"/><Relationship Id="rId43" Type="http://schemas.openxmlformats.org/officeDocument/2006/relationships/hyperlink" Target="https://www.nve.no/norwegian-energy-regulatory-authority/retail-market/elhub/" TargetMode="External"/><Relationship Id="rId48" Type="http://schemas.openxmlformats.org/officeDocument/2006/relationships/hyperlink" Target="https://www.rescoop.eu/policy/transposition-tracker/rec-cec-definitions/greece-rec-cec-definitions?utm_source=chatgpt.com" TargetMode="External"/><Relationship Id="rId64" Type="http://schemas.openxmlformats.org/officeDocument/2006/relationships/hyperlink" Target="https://www.dbu.de/app/uploads/dbu_media-DBU_Steckbrief_Romania_14-08-2024.pdf?utm_source=chatgpt.com" TargetMode="External"/><Relationship Id="rId69" Type="http://schemas.openxmlformats.org/officeDocument/2006/relationships/hyperlink" Target="https://de.wikipedia.org/wiki/Energy_Sharing?utm_source=chatgpt.com" TargetMode="External"/><Relationship Id="rId113" Type="http://schemas.openxmlformats.org/officeDocument/2006/relationships/hyperlink" Target="https://www.legifrance.gouv.fr/codes/texte_lc/LEGITEXT000023983208/2023-07-14/" TargetMode="External"/><Relationship Id="rId118" Type="http://schemas.openxmlformats.org/officeDocument/2006/relationships/hyperlink" Target="https://www.encyclopedie-energie.org/en/collective-self-consumption-principles-and-state-of-the-art-in-france/" TargetMode="External"/><Relationship Id="rId134" Type="http://schemas.openxmlformats.org/officeDocument/2006/relationships/hyperlink" Target="https://www.energidataservice.dk/" TargetMode="External"/><Relationship Id="rId139" Type="http://schemas.openxmlformats.org/officeDocument/2006/relationships/hyperlink" Target="https://www.somenergia.coop/es/welcome-to-som-energia/" TargetMode="External"/><Relationship Id="rId80" Type="http://schemas.openxmlformats.org/officeDocument/2006/relationships/hyperlink" Target="https://interoperable-europe.ec.europa.eu/sites/default/files/inline-files/OSS%20Country%20Intelligence%20Report_NO_0.pdf" TargetMode="External"/><Relationship Id="rId85" Type="http://schemas.openxmlformats.org/officeDocument/2006/relationships/hyperlink" Target="https://cler.org/" TargetMode="External"/><Relationship Id="rId12" Type="http://schemas.openxmlformats.org/officeDocument/2006/relationships/hyperlink" Target="https://lovdata.no/dokument/NL/lov/1990-06-29-50" TargetMode="External"/><Relationship Id="rId17" Type="http://schemas.openxmlformats.org/officeDocument/2006/relationships/hyperlink" Target="https://www.nve.no/reguleringsmyndigheten/kunde/stroemnettet/prosumenter-og-plusskunder/" TargetMode="External"/><Relationship Id="rId33" Type="http://schemas.openxmlformats.org/officeDocument/2006/relationships/hyperlink" Target="https://norgesnett.no/kunde/ny-nettleie/" TargetMode="External"/><Relationship Id="rId38" Type="http://schemas.openxmlformats.org/officeDocument/2006/relationships/hyperlink" Target="https://www.statnett.no/om-statnett/nyheter-og-pressemeldinger/nyhetsarkiv-2025/storre-apenhet-om-reservert-nettkapasitet-og-hvem-som-star-i-ko/" TargetMode="External"/><Relationship Id="rId59" Type="http://schemas.openxmlformats.org/officeDocument/2006/relationships/hyperlink" Target="https://planification.climat-energie.gouv.fr/?utm_source=chatgpt.com" TargetMode="External"/><Relationship Id="rId103" Type="http://schemas.openxmlformats.org/officeDocument/2006/relationships/hyperlink" Target="https://fonts.google.com/specimen/Sofia+Sans/about" TargetMode="External"/><Relationship Id="rId108" Type="http://schemas.openxmlformats.org/officeDocument/2006/relationships/hyperlink" Target="https://wiki.debian.org/SummerOfCode2019/ApprovedProjects/PackageLoomioForDebian" TargetMode="External"/><Relationship Id="rId124" Type="http://schemas.openxmlformats.org/officeDocument/2006/relationships/hyperlink" Target="https://www.boell-sh.de/sites/default/files/2024-07/policy-factsheet-germany_updated-version.pdf" TargetMode="External"/><Relationship Id="rId129" Type="http://schemas.openxmlformats.org/officeDocument/2006/relationships/hyperlink" Target="https://www.rescoop.eu/policy/transposition-tracker/enabling-frameworks-support-schemes/denmark" TargetMode="External"/><Relationship Id="rId54" Type="http://schemas.openxmlformats.org/officeDocument/2006/relationships/hyperlink" Target="https://pub.norden.org/nordicenergyresearch2023-03/germany.html?utm_source=chatgpt.com" TargetMode="External"/><Relationship Id="rId70" Type="http://schemas.openxmlformats.org/officeDocument/2006/relationships/hyperlink" Target="https://www.e-control.at/international/energy-community" TargetMode="External"/><Relationship Id="rId75" Type="http://schemas.openxmlformats.org/officeDocument/2006/relationships/hyperlink" Target="https://www.energiacomun.org/adhesion/" TargetMode="External"/><Relationship Id="rId91" Type="http://schemas.openxmlformats.org/officeDocument/2006/relationships/hyperlink" Target="https://www.debian.org/" TargetMode="External"/><Relationship Id="rId96" Type="http://schemas.openxmlformats.org/officeDocument/2006/relationships/hyperlink" Target="https://manpages.debian.org/unstable/apticron/apticron.1.en.html" TargetMode="External"/><Relationship Id="rId140" Type="http://schemas.openxmlformats.org/officeDocument/2006/relationships/hyperlink" Target="https://www.energiequelle.de/en/services/project-development/citizen-participation" TargetMode="External"/><Relationship Id="rId1" Type="http://schemas.openxmlformats.org/officeDocument/2006/relationships/hyperlink" Target="https://csd.eu/events/event/fast-tracking-res-removing-barriers-to-decentralization-and-democratization-of-the-energy-transitio/" TargetMode="External"/><Relationship Id="rId6" Type="http://schemas.openxmlformats.org/officeDocument/2006/relationships/hyperlink" Target="https://eur-lex.europa.eu/eli/dir/2019/944/oj/eng" TargetMode="External"/><Relationship Id="rId23" Type="http://schemas.openxmlformats.org/officeDocument/2006/relationships/hyperlink" Target="https://elhub.no/data/delt-produksjon/" TargetMode="External"/><Relationship Id="rId28" Type="http://schemas.openxmlformats.org/officeDocument/2006/relationships/hyperlink" Target="https://lovdata.no/dokument/NL/lov/1990-06-29-50" TargetMode="External"/><Relationship Id="rId49" Type="http://schemas.openxmlformats.org/officeDocument/2006/relationships/hyperlink" Target="https://energycommunityplatform.eu/resources/recommendations-to-create-an-energy-community/?utm_source=chatgpt.com" TargetMode="External"/><Relationship Id="rId114" Type="http://schemas.openxmlformats.org/officeDocument/2006/relationships/hyperlink" Target="https://www.ecologie.gouv.fr/politiques-publiques/energies-renouvelables-citoyennes" TargetMode="External"/><Relationship Id="rId119" Type="http://schemas.openxmlformats.org/officeDocument/2006/relationships/hyperlink" Target="https://cms.law/en/int/expert-guides/cms-expert-guide-to-renewable-energy/france" TargetMode="External"/><Relationship Id="rId44" Type="http://schemas.openxmlformats.org/officeDocument/2006/relationships/hyperlink" Target="https://elhub.no/app/uploads/2018/04/47f6755f6e127fa6d93d94ed2b2a1215.pdf" TargetMode="External"/><Relationship Id="rId60" Type="http://schemas.openxmlformats.org/officeDocument/2006/relationships/hyperlink" Target="https://www.data.gouv.fr/fr/datasets/registre-national-des-installations-de-production-et-de-stockage-delectricite-au-31-08-2024/?utm_source=chatgpt.com" TargetMode="External"/><Relationship Id="rId65" Type="http://schemas.openxmlformats.org/officeDocument/2006/relationships/hyperlink" Target="https://www.rescoop.eu/policy/transposition-tracker/enabling-frameworks-support-schemes/romania" TargetMode="External"/><Relationship Id="rId81" Type="http://schemas.openxmlformats.org/officeDocument/2006/relationships/hyperlink" Target="https://interoperable-europe.ec.europa.eu/sites/default/files/inline-files/OSS%2520Country%2520Intelligence%2520Factsheet_NO_0.pdf" TargetMode="External"/><Relationship Id="rId86" Type="http://schemas.openxmlformats.org/officeDocument/2006/relationships/hyperlink" Target="https://wordpress.org/download/" TargetMode="External"/><Relationship Id="rId130" Type="http://schemas.openxmlformats.org/officeDocument/2006/relationships/hyperlink" Target="https://www.openvolt.com/blog/post/the-state-of-smart-meter-data-access-across-europe" TargetMode="External"/><Relationship Id="rId135" Type="http://schemas.openxmlformats.org/officeDocument/2006/relationships/hyperlink" Target="https://energydata.dk/en/" TargetMode="External"/><Relationship Id="rId13" Type="http://schemas.openxmlformats.org/officeDocument/2006/relationships/hyperlink" Target="https://lovdata.no/dokument/SF/forskrift/1990-12-07-959" TargetMode="External"/><Relationship Id="rId18" Type="http://schemas.openxmlformats.org/officeDocument/2006/relationships/hyperlink" Target="https://www.nve.no/reguleringsmyndigheten/kunde/stroemnettet/prosumenter-og-plusskunder/" TargetMode="External"/><Relationship Id="rId39" Type="http://schemas.openxmlformats.org/officeDocument/2006/relationships/hyperlink" Target="https://www.statnett.no/for-aktorer-i-kraftbransjen/nettkapasitet-til-produksjon-og-forbruk/foresporsler-og-reservasjon-i-nettet/" TargetMode="External"/><Relationship Id="rId109" Type="http://schemas.openxmlformats.org/officeDocument/2006/relationships/hyperlink" Target="https://ipv6.rs/tutorial/Debian_Latest/Loomio/" TargetMode="External"/><Relationship Id="rId34" Type="http://schemas.openxmlformats.org/officeDocument/2006/relationships/hyperlink" Target="https://www.bkk.no/en/our-grid-tariffs" TargetMode="External"/><Relationship Id="rId50" Type="http://schemas.openxmlformats.org/officeDocument/2006/relationships/hyperlink" Target="https://pub.norden.org/nordicenergyresearch2023-03/germany.html" TargetMode="External"/><Relationship Id="rId55" Type="http://schemas.openxmlformats.org/officeDocument/2006/relationships/hyperlink" Target="https://www.rescoop.eu/policy/transposition-tracker/enabling-frameworks-support-schemes/france" TargetMode="External"/><Relationship Id="rId76" Type="http://schemas.openxmlformats.org/officeDocument/2006/relationships/hyperlink" Target="https://www.energiacomun.org/comunidades/comunidad-energetica-renovable-valdeajos/" TargetMode="External"/><Relationship Id="rId97" Type="http://schemas.openxmlformats.org/officeDocument/2006/relationships/hyperlink" Target="https://github.com/fail2ban/fail2ban" TargetMode="External"/><Relationship Id="rId104" Type="http://schemas.openxmlformats.org/officeDocument/2006/relationships/hyperlink" Target="https://addons.mozilla.org/en-US/firefox/addon/wcag-contrast-checker/" TargetMode="External"/><Relationship Id="rId120" Type="http://schemas.openxmlformats.org/officeDocument/2006/relationships/hyperlink" Target="https://flux50.com/media/5757/05%20Enedis.pdf" TargetMode="External"/><Relationship Id="rId125" Type="http://schemas.openxmlformats.org/officeDocument/2006/relationships/hyperlink" Target="https://www.ffe.de/en/publications/the-smart-meter-rollout-in-germany-and-europe/" TargetMode="External"/><Relationship Id="rId141" Type="http://schemas.openxmlformats.org/officeDocument/2006/relationships/hyperlink" Target="https://www.eon.com/en/business-customers/success-stories/hyllie-project.html" TargetMode="External"/><Relationship Id="rId7" Type="http://schemas.openxmlformats.org/officeDocument/2006/relationships/hyperlink" Target="https://eur-lex.europa.eu/eli/dir/2019/944/oj/eng" TargetMode="External"/><Relationship Id="rId71" Type="http://schemas.openxmlformats.org/officeDocument/2006/relationships/hyperlink" Target="https://build-up.ec.europa.eu/en/resources-and-tools/publications/roadmap-policy-and-legal-framework-energy-communities%23:~:text=This%20Roadmap%20outlines%20essential%20Building%20Blocks%20and%20steps,awareness.%20Facilitating%20access%20to%20finance%20and%20support%20schemes." TargetMode="External"/><Relationship Id="rId92" Type="http://schemas.openxmlformats.org/officeDocument/2006/relationships/hyperlink" Target="https://www.linode.com/docs/guides/control-network-traffic-with-iptables/" TargetMode="External"/><Relationship Id="rId2" Type="http://schemas.openxmlformats.org/officeDocument/2006/relationships/hyperlink" Target="https://csd.eu/events/event/fast-tracking-res-removing-barriers-to-decentralization-and-democratization-of-the-energy-transitio/" TargetMode="External"/><Relationship Id="rId29" Type="http://schemas.openxmlformats.org/officeDocument/2006/relationships/hyperlink" Target="https://www.nve.no/norwegian-energy-regulatory-authority/economic-regulation/" TargetMode="External"/><Relationship Id="rId24" Type="http://schemas.openxmlformats.org/officeDocument/2006/relationships/hyperlink" Target="https://norgesnett.no/kunde/enabo/" TargetMode="External"/><Relationship Id="rId40" Type="http://schemas.openxmlformats.org/officeDocument/2006/relationships/hyperlink" Target="https://www.wr.no/en/news/wr-energy-update-new-requirements-for-allocation-of-grid-capacity" TargetMode="External"/><Relationship Id="rId45" Type="http://schemas.openxmlformats.org/officeDocument/2006/relationships/hyperlink" Target="https://dok.elhub.no/e27/elhub-messaging-interface-emif" TargetMode="External"/><Relationship Id="rId66" Type="http://schemas.openxmlformats.org/officeDocument/2006/relationships/hyperlink" Target="https://www.linkedin.com/pulse/unlocking-renewable-energy-potential-romanias-updated-stamate-mypff/" TargetMode="External"/><Relationship Id="rId87" Type="http://schemas.openxmlformats.org/officeDocument/2006/relationships/hyperlink" Target="https://www.drupal.org/project/drupal" TargetMode="External"/><Relationship Id="rId110" Type="http://schemas.openxmlformats.org/officeDocument/2006/relationships/hyperlink" Target="https://help.loomio.com/en/" TargetMode="External"/><Relationship Id="rId115" Type="http://schemas.openxmlformats.org/officeDocument/2006/relationships/hyperlink" Target="https://en.selectra.info/energy-france/guides/electricity/linky" TargetMode="External"/><Relationship Id="rId131" Type="http://schemas.openxmlformats.org/officeDocument/2006/relationships/hyperlink" Target="https://www.annualreports.com/HostedData/AnnualReportArchive/o/OTC_DOGEF_2019.pdf" TargetMode="External"/><Relationship Id="rId136" Type="http://schemas.openxmlformats.org/officeDocument/2006/relationships/hyperlink" Target="https://smartsenja.no/" TargetMode="External"/><Relationship Id="rId61" Type="http://schemas.openxmlformats.org/officeDocument/2006/relationships/hyperlink" Target="https://www.ambienteitalia.it/en/servizi/comunita-energetiche-rinnovabili-cer/" TargetMode="External"/><Relationship Id="rId82" Type="http://schemas.openxmlformats.org/officeDocument/2006/relationships/hyperlink" Target="https://interoperable-europe.ec.europa.eu/sites/default/files/inline-files/OSS%2520Country%2520Intelligence%2520Factsheet_NO_0.pdf" TargetMode="External"/><Relationship Id="rId19" Type="http://schemas.openxmlformats.org/officeDocument/2006/relationships/hyperlink" Target="https://www.nve.no/reguleringsmyndigheten/publikasjoner-og-data/statistikk/statistikk-over-sluttbrukermarkedet/plusskundestatistikk/" TargetMode="External"/><Relationship Id="rId14" Type="http://schemas.openxmlformats.org/officeDocument/2006/relationships/hyperlink" Target="https://lovdata.no/dokument/SF/forskrift/2019-10-24-1413" TargetMode="External"/><Relationship Id="rId30" Type="http://schemas.openxmlformats.org/officeDocument/2006/relationships/hyperlink" Target="https://www.nve.no/norwegian-energy-regulatory-authority/network-regulation/quality-of-electricity-supply/" TargetMode="External"/><Relationship Id="rId35" Type="http://schemas.openxmlformats.org/officeDocument/2006/relationships/hyperlink" Target="https://www.statnett.no/en/for-stakeholders-in-the-power-industry/tariffs/this-years-tariff/" TargetMode="External"/><Relationship Id="rId56" Type="http://schemas.openxmlformats.org/officeDocument/2006/relationships/hyperlink" Target="https://www.data.gouv.fr/fr/datasets/registre-national-des-installations-de-production-et-de-stockage-delectricite-au-31-08-2024/?utm_source=chatgpt.com" TargetMode="External"/><Relationship Id="rId77" Type="http://schemas.openxmlformats.org/officeDocument/2006/relationships/hyperlink" Target="https://energiegemeinschaften.gv.at/landkarte/" TargetMode="External"/><Relationship Id="rId100" Type="http://schemas.openxmlformats.org/officeDocument/2006/relationships/hyperlink" Target="https://varnish-cache.org/" TargetMode="External"/><Relationship Id="rId105" Type="http://schemas.openxmlformats.org/officeDocument/2006/relationships/hyperlink" Target="https://github.com/loomio/loomio" TargetMode="External"/><Relationship Id="rId126" Type="http://schemas.openxmlformats.org/officeDocument/2006/relationships/hyperlink" Target="https://www.openvolt.com/blog/post/the-state-of-smart-meter-data-access-across-europe" TargetMode="External"/><Relationship Id="rId8" Type="http://schemas.openxmlformats.org/officeDocument/2006/relationships/hyperlink" Target="https://pub.norden.org/nordicenergyresearch2023-03/index.html" TargetMode="External"/><Relationship Id="rId51" Type="http://schemas.openxmlformats.org/officeDocument/2006/relationships/hyperlink" Target="https://www.marktstammdatenregister.de/" TargetMode="External"/><Relationship Id="rId72" Type="http://schemas.openxmlformats.org/officeDocument/2006/relationships/hyperlink" Target="https://energiegemeinschaften.gv.at/kontakt-beratung/" TargetMode="External"/><Relationship Id="rId93" Type="http://schemas.openxmlformats.org/officeDocument/2006/relationships/hyperlink" Target="https://www.linode.com/docs/guides/how-to-configure-http-2-on-apache/" TargetMode="External"/><Relationship Id="rId98" Type="http://schemas.openxmlformats.org/officeDocument/2006/relationships/hyperlink" Target="https://www.ossec.net/" TargetMode="External"/><Relationship Id="rId121" Type="http://schemas.openxmlformats.org/officeDocument/2006/relationships/hyperlink" Target="https://www.rescoop.eu/policy/transposition-tracker/enabling-frameworks-support-schemes/france" TargetMode="External"/><Relationship Id="rId142" Type="http://schemas.openxmlformats.org/officeDocument/2006/relationships/hyperlink" Target="https://www.flexcoop.net/" TargetMode="External"/><Relationship Id="rId3" Type="http://schemas.openxmlformats.org/officeDocument/2006/relationships/hyperlink" Target="https://build-up.ec.europa.eu/en/resources-and-tools/publications/roadmap-policy-and-legal-framework-energy-communities%23:~:text=This%20Roadmap%20outlines%20essential%20Building%20Blocks%20and%20steps,awareness.%20Facilitating%20access%20to%20finance%20and%20support%20schemes." TargetMode="External"/><Relationship Id="rId25" Type="http://schemas.openxmlformats.org/officeDocument/2006/relationships/hyperlink" Target="https://energifaktanorge.no/en/norsk-energiforsyning/kraftnett/" TargetMode="External"/><Relationship Id="rId46" Type="http://schemas.openxmlformats.org/officeDocument/2006/relationships/hyperlink" Target="https://build-up.ec.europa.eu/en/resources-and-tools/publications/roadmap-policy-and-legal-framework-energy-communities%23:~:text=This%20Roadmap%20outlines%20essential%20Building%20Blocks%20and%20steps,awareness.%20Facilitating%20access%20to%20finance%20and%20support%20schemes." TargetMode="External"/><Relationship Id="rId67" Type="http://schemas.openxmlformats.org/officeDocument/2006/relationships/hyperlink" Target="https://interreg-danube.eu/projects/nrgcom/news/creating-a-favorable-legal-framework-for-energy-communities-in-romania" TargetMode="External"/><Relationship Id="rId116" Type="http://schemas.openxmlformats.org/officeDocument/2006/relationships/hyperlink" Target="https://www.enedis.fr/acceder-aux-donnees-fournies-par-enedis" TargetMode="External"/><Relationship Id="rId137" Type="http://schemas.openxmlformats.org/officeDocument/2006/relationships/hyperlink" Target="https://www.sciencedirect.com/science/article/pii/S0301421525000217" TargetMode="External"/><Relationship Id="rId20" Type="http://schemas.openxmlformats.org/officeDocument/2006/relationships/hyperlink" Target="https://www.nve.no/reguleringsmyndigheten/publikasjoner-og-data/statistikk/statistikk-over-sluttbrukermarkedet/plusskundestatistikk/" TargetMode="External"/><Relationship Id="rId41" Type="http://schemas.openxmlformats.org/officeDocument/2006/relationships/hyperlink" Target="https://powercircle.org/local_flexibility_markets.pdf" TargetMode="External"/><Relationship Id="rId62" Type="http://schemas.openxmlformats.org/officeDocument/2006/relationships/hyperlink" Target="https://www.magaldigreenenergy.com/en/italys-renewable-energy-communities-breakthrough-2024?utm_source=chatgpt.com" TargetMode="External"/><Relationship Id="rId83" Type="http://schemas.openxmlformats.org/officeDocument/2006/relationships/hyperlink" Target="https://energycommunityplatform.eu/" TargetMode="External"/><Relationship Id="rId88" Type="http://schemas.openxmlformats.org/officeDocument/2006/relationships/hyperlink" Target="https://get.typo3.org/" TargetMode="External"/><Relationship Id="rId111" Type="http://schemas.openxmlformats.org/officeDocument/2006/relationships/hyperlink" Target="https://openems.io/association/" TargetMode="External"/><Relationship Id="rId132" Type="http://schemas.openxmlformats.org/officeDocument/2006/relationships/hyperlink" Target="https://eloverblik.dk/" TargetMode="External"/><Relationship Id="rId15" Type="http://schemas.openxmlformats.org/officeDocument/2006/relationships/hyperlink" Target="https://www.nve.no/reguleringsmyndigheten/bransje/bransjeoppgaver/pilot-og-demonstrasjonsprosjekter/vedtak-dispensasjonssoeknader/" TargetMode="External"/><Relationship Id="rId36" Type="http://schemas.openxmlformats.org/officeDocument/2006/relationships/hyperlink" Target="https://www.statnett.no/for-aktorer-i-kraftbransjen/tariff/flaskehalsinntekter/" TargetMode="External"/><Relationship Id="rId57" Type="http://schemas.openxmlformats.org/officeDocument/2006/relationships/hyperlink" Target="https://www.data.gouv.fr/fr/datasets/registre-national-des-installations-de-production-et-de-stockage-delectricite-au-31-08-2024/?utm_source=chatgpt.com" TargetMode="External"/><Relationship Id="rId106" Type="http://schemas.openxmlformats.org/officeDocument/2006/relationships/hyperlink" Target="https://github.com/loomio/loomio-deploy" TargetMode="External"/><Relationship Id="rId127" Type="http://schemas.openxmlformats.org/officeDocument/2006/relationships/hyperlink" Target="https://www.bsi.bund.de/EN/Service-Navi/FAQ/SmartMeter/faq_smartmeter_node.html" TargetMode="External"/><Relationship Id="rId10" Type="http://schemas.openxmlformats.org/officeDocument/2006/relationships/hyperlink" Target="https://wayback.archive-it.org/12090/20240807073925/https:/energy-communities-repository.ec.europa.eu/energy-communities-repository-legal-frameworks/energy-communities-repository-policy-database_en" TargetMode="External"/><Relationship Id="rId31" Type="http://schemas.openxmlformats.org/officeDocument/2006/relationships/hyperlink" Target="https://www.nve.no/norwegian-energy-regulatory-authority/economic-regulation/" TargetMode="External"/><Relationship Id="rId52" Type="http://schemas.openxmlformats.org/officeDocument/2006/relationships/hyperlink" Target="https://clean-energy-islands.ec.europa.eu/countries/germany/legal/community-energy-policies/energy-communities-energy-cooperatives-energy?utm_source=chatgpt.com" TargetMode="External"/><Relationship Id="rId73" Type="http://schemas.openxmlformats.org/officeDocument/2006/relationships/hyperlink" Target="https://energiegemeinschaften.gv.at/kontaktdaten-einreichen/" TargetMode="External"/><Relationship Id="rId78" Type="http://schemas.openxmlformats.org/officeDocument/2006/relationships/hyperlink" Target="https://euipo.europa.eu/tunnel-" TargetMode="External"/><Relationship Id="rId94" Type="http://schemas.openxmlformats.org/officeDocument/2006/relationships/hyperlink" Target="https://letsencrypt.org/" TargetMode="External"/><Relationship Id="rId99" Type="http://schemas.openxmlformats.org/officeDocument/2006/relationships/hyperlink" Target="https://www.clamav.net/" TargetMode="External"/><Relationship Id="rId101" Type="http://schemas.openxmlformats.org/officeDocument/2006/relationships/hyperlink" Target="https://www.varnish-software.com/developers/tutorials/terminate-tls-varnish-hitch/" TargetMode="External"/><Relationship Id="rId122" Type="http://schemas.openxmlformats.org/officeDocument/2006/relationships/hyperlink" Target="https://energy.ec.europa.eu/topics/markets-and-consumers/energy-consumers-and-prosumers/energy-communities/energy-communities-repository-policy-database_en%23germany" TargetMode="External"/><Relationship Id="rId143" Type="http://schemas.openxmlformats.org/officeDocument/2006/relationships/hyperlink" Target="https://buergerwerke.de/oekostrom/buergeroekostrom" TargetMode="External"/><Relationship Id="rId4" Type="http://schemas.openxmlformats.org/officeDocument/2006/relationships/hyperlink" Target="https://eur-lex.europa.eu/eli/dir/2018/2001/oj/eng" TargetMode="External"/><Relationship Id="rId9" Type="http://schemas.openxmlformats.org/officeDocument/2006/relationships/hyperlink" Target="https://circabc.europa.eu/ui/group/8f5f9424-a7ef-4dbf-b914-1af1d12ff5d2/library/22055ff9-1f49-41f8-a321-cbf20ca3d316/details" TargetMode="External"/><Relationship Id="rId26" Type="http://schemas.openxmlformats.org/officeDocument/2006/relationships/hyperlink" Target="https://www.nve.no/norwegian-energy-regulatory-authority/economic-regulation/" TargetMode="External"/><Relationship Id="rId47" Type="http://schemas.openxmlformats.org/officeDocument/2006/relationships/hyperlink" Target="https://thegreentank.gr/wp-content/uploads/2024/11/202411_%ce%a4heGreenTank_EnComBrief_6_final_ENG-1.pdf" TargetMode="External"/><Relationship Id="rId68" Type="http://schemas.openxmlformats.org/officeDocument/2006/relationships/hyperlink" Target="https://interreg-danube.eu/projects/nrgcom/news/creating-a-favorable-legal-framework-for-energy-communities-in-romania" TargetMode="External"/><Relationship Id="rId89" Type="http://schemas.openxmlformats.org/officeDocument/2006/relationships/hyperlink" Target="http://novsait.eu/sites/default/files/Politika_za_lichni_Danni_Nov_sait_EOOD.pdf" TargetMode="External"/><Relationship Id="rId112" Type="http://schemas.openxmlformats.org/officeDocument/2006/relationships/hyperlink" Target="https://energy.ec.europa.eu/topics/markets-and-consumers/energy-consumers-and-prosumers/energy-communities/energy-communities-repository-policy-database_en%23france" TargetMode="External"/><Relationship Id="rId133" Type="http://schemas.openxmlformats.org/officeDocument/2006/relationships/hyperlink" Target="https://energinet.dk/data-om-energi/datahub/" TargetMode="External"/><Relationship Id="rId16" Type="http://schemas.openxmlformats.org/officeDocument/2006/relationships/hyperlink" Target="https://www.nve.no/reguleringsmyndigheten/bransje/bransjeoppgaver/pilot-og-demonstrasjonsprosjekter/vedtak-dispensasjonssoeknad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44ADB7-33E1-4884-9B49-A413AD946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158</Pages>
  <Words>59077</Words>
  <Characters>336744</Characters>
  <Application>Microsoft Office Word</Application>
  <DocSecurity>0</DocSecurity>
  <Lines>2806</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Михаела Стефанова</dc:creator>
  <cp:keywords/>
  <dc:description/>
  <cp:lastModifiedBy>Кристиан Ставрев</cp:lastModifiedBy>
  <cp:revision>2</cp:revision>
  <dcterms:created xsi:type="dcterms:W3CDTF">2026-04-02T14:23:00Z</dcterms:created>
  <dcterms:modified xsi:type="dcterms:W3CDTF">2026-04-02T14:23:00Z</dcterms:modified>
</cp:coreProperties>
</file>