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5A5" w:rsidRDefault="004E1D8E" w:rsidP="004E1D8E">
      <w:pPr>
        <w:spacing w:line="360" w:lineRule="auto"/>
        <w:jc w:val="right"/>
        <w:rPr>
          <w:b/>
        </w:rPr>
      </w:pPr>
      <w:r>
        <w:rPr>
          <w:b/>
        </w:rPr>
        <w:t>Приложение № 1</w:t>
      </w:r>
    </w:p>
    <w:p w:rsidR="004E1D8E" w:rsidRDefault="004E1D8E" w:rsidP="004E1D8E">
      <w:pPr>
        <w:spacing w:line="360" w:lineRule="auto"/>
        <w:jc w:val="right"/>
        <w:rPr>
          <w:b/>
        </w:rPr>
      </w:pPr>
    </w:p>
    <w:p w:rsidR="003B13A0" w:rsidRPr="001469DD" w:rsidRDefault="00EF1188" w:rsidP="003815A5">
      <w:pPr>
        <w:spacing w:line="360" w:lineRule="auto"/>
        <w:jc w:val="center"/>
        <w:rPr>
          <w:rFonts w:ascii="Calibri" w:hAnsi="Calibri" w:cs="Calibri"/>
          <w:b/>
          <w:snapToGrid w:val="0"/>
          <w:kern w:val="28"/>
          <w:sz w:val="20"/>
          <w:szCs w:val="20"/>
          <w:lang w:eastAsia="en-US"/>
        </w:rPr>
      </w:pPr>
      <w:r w:rsidRPr="003815A5">
        <w:rPr>
          <w:b/>
        </w:rPr>
        <w:t>ДЕКЛАРАЦИЯ</w:t>
      </w:r>
    </w:p>
    <w:p w:rsidR="00C81FB7" w:rsidRPr="003815A5" w:rsidRDefault="003815A5" w:rsidP="004E1D8E">
      <w:pPr>
        <w:tabs>
          <w:tab w:val="left" w:pos="8931"/>
        </w:tabs>
        <w:jc w:val="center"/>
      </w:pPr>
      <w:r>
        <w:t>п</w:t>
      </w:r>
      <w:r w:rsidR="00595F07" w:rsidRPr="001469DD">
        <w:t xml:space="preserve">о чл. 5, ал. </w:t>
      </w:r>
      <w:r w:rsidR="001469DD" w:rsidRPr="001469DD">
        <w:t xml:space="preserve">3, т. 3 </w:t>
      </w:r>
      <w:r w:rsidR="00595F07" w:rsidRPr="001469DD">
        <w:t xml:space="preserve">от Наредба </w:t>
      </w:r>
      <w:r w:rsidR="001469DD">
        <w:t xml:space="preserve">№ </w:t>
      </w:r>
      <w:r w:rsidR="004F12FA">
        <w:t xml:space="preserve">Е-РД-04-06 от 28 септември 2016 г. </w:t>
      </w:r>
      <w:r w:rsidR="00595F07" w:rsidRPr="003815A5">
        <w:t>за намаляване на тежестта, свързана с разходите</w:t>
      </w:r>
      <w:r w:rsidR="00B74FA8">
        <w:t xml:space="preserve"> за</w:t>
      </w:r>
      <w:r w:rsidR="00595F07" w:rsidRPr="003815A5">
        <w:t xml:space="preserve"> енергия от </w:t>
      </w:r>
      <w:proofErr w:type="spellStart"/>
      <w:r w:rsidR="00595F07" w:rsidRPr="003815A5">
        <w:t>възобновяеми</w:t>
      </w:r>
      <w:proofErr w:type="spellEnd"/>
      <w:r w:rsidR="00595F07" w:rsidRPr="003815A5">
        <w:t xml:space="preserve"> източници</w:t>
      </w:r>
      <w:r w:rsidR="004F12FA">
        <w:t xml:space="preserve"> (</w:t>
      </w:r>
      <w:proofErr w:type="spellStart"/>
      <w:r w:rsidR="004F12FA">
        <w:t>обн</w:t>
      </w:r>
      <w:proofErr w:type="spellEnd"/>
      <w:r w:rsidR="004F12FA">
        <w:t>., ДВ, бр. 77 от 2016 г.)</w:t>
      </w:r>
      <w:r w:rsidR="001469DD" w:rsidRPr="003815A5">
        <w:t>,</w:t>
      </w:r>
      <w:r w:rsidR="001469DD">
        <w:t xml:space="preserve"> </w:t>
      </w:r>
      <w:r w:rsidR="00A53B2C" w:rsidRPr="003815A5">
        <w:t>че предприятието не е в затруднено п</w:t>
      </w:r>
      <w:bookmarkStart w:id="0" w:name="_GoBack"/>
      <w:bookmarkEnd w:id="0"/>
      <w:r w:rsidR="00A53B2C" w:rsidRPr="003815A5">
        <w:t>оложение съгласно Насоките за държавна помощ за оздравяване и преструктуриране на нефинансови предприятия в затруднено положение на Европейската комисия (ОВ, С 249/01 от 31 юли 2014 г.)</w:t>
      </w:r>
    </w:p>
    <w:p w:rsidR="003815A5" w:rsidRPr="003815A5" w:rsidRDefault="003815A5" w:rsidP="003815A5">
      <w:pPr>
        <w:tabs>
          <w:tab w:val="left" w:pos="8931"/>
        </w:tabs>
        <w:spacing w:line="360" w:lineRule="auto"/>
        <w:jc w:val="center"/>
      </w:pPr>
    </w:p>
    <w:p w:rsidR="001469DD" w:rsidRPr="008020FE" w:rsidRDefault="001469DD" w:rsidP="003815A5">
      <w:pPr>
        <w:tabs>
          <w:tab w:val="left" w:pos="8931"/>
        </w:tabs>
        <w:spacing w:line="360" w:lineRule="auto"/>
        <w:jc w:val="both"/>
      </w:pPr>
      <w:r>
        <w:t>Долуподписаният</w:t>
      </w:r>
      <w:r>
        <w:rPr>
          <w:lang w:val="en-US"/>
        </w:rPr>
        <w:t>*</w:t>
      </w:r>
      <w:r>
        <w:t xml:space="preserve"> </w:t>
      </w:r>
      <w:r w:rsidRPr="001C290D">
        <w:t>...............</w:t>
      </w:r>
      <w:r w:rsidR="003815A5">
        <w:t>..........................</w:t>
      </w:r>
      <w:r w:rsidRPr="001C290D">
        <w:t>....</w:t>
      </w:r>
      <w:r w:rsidR="003815A5">
        <w:t>......................</w:t>
      </w:r>
      <w:r w:rsidRPr="001C290D">
        <w:t xml:space="preserve">..................., ЕГН </w:t>
      </w:r>
      <w:r w:rsidR="003815A5">
        <w:t>...............</w:t>
      </w:r>
      <w:r w:rsidRPr="008020FE">
        <w:t>...........</w:t>
      </w:r>
      <w:r w:rsidR="004F12FA">
        <w:t>......</w:t>
      </w:r>
      <w:r w:rsidRPr="008020FE">
        <w:t>, л. к № ……...............</w:t>
      </w:r>
      <w:r w:rsidR="006750F5">
        <w:t>.....</w:t>
      </w:r>
      <w:r w:rsidRPr="008020FE">
        <w:t>..</w:t>
      </w:r>
      <w:r w:rsidR="006750F5">
        <w:t>..</w:t>
      </w:r>
      <w:r w:rsidRPr="008020FE">
        <w:t>....</w:t>
      </w:r>
      <w:r w:rsidR="006750F5">
        <w:t>......</w:t>
      </w:r>
      <w:r w:rsidRPr="008020FE">
        <w:t>, издадена на ....</w:t>
      </w:r>
      <w:r w:rsidR="006750F5">
        <w:t>..</w:t>
      </w:r>
      <w:r w:rsidRPr="008020FE">
        <w:t>.....</w:t>
      </w:r>
      <w:r w:rsidR="006750F5">
        <w:t>..</w:t>
      </w:r>
      <w:r w:rsidRPr="008020FE">
        <w:t>......</w:t>
      </w:r>
      <w:r w:rsidR="006750F5">
        <w:t>..</w:t>
      </w:r>
      <w:r w:rsidRPr="008020FE">
        <w:t>.</w:t>
      </w:r>
      <w:r w:rsidR="006750F5">
        <w:t>........</w:t>
      </w:r>
      <w:r w:rsidRPr="008020FE">
        <w:t>.........</w:t>
      </w:r>
      <w:r w:rsidRPr="008020FE">
        <w:rPr>
          <w:lang w:val="ru-RU"/>
        </w:rPr>
        <w:t xml:space="preserve"> </w:t>
      </w:r>
      <w:r w:rsidRPr="008020FE">
        <w:t>от ...................</w:t>
      </w:r>
      <w:r w:rsidR="006750F5">
        <w:t>.......</w:t>
      </w:r>
      <w:r w:rsidRPr="008020FE">
        <w:t>..........</w:t>
      </w:r>
      <w:r w:rsidR="006750F5">
        <w:t>.....</w:t>
      </w:r>
      <w:r w:rsidRPr="008020FE">
        <w:t>, с постоянен адрес: ....................................................</w:t>
      </w:r>
      <w:r w:rsidR="003815A5">
        <w:t>.......</w:t>
      </w:r>
      <w:r w:rsidRPr="008020FE">
        <w:t>……....</w:t>
      </w:r>
      <w:r w:rsidR="006750F5">
        <w:t>..............</w:t>
      </w:r>
      <w:r w:rsidRPr="008020FE">
        <w:t xml:space="preserve">, в качеството </w:t>
      </w:r>
      <w:proofErr w:type="spellStart"/>
      <w:r>
        <w:rPr>
          <w:lang w:val="en-US"/>
        </w:rPr>
        <w:t>ми</w:t>
      </w:r>
      <w:proofErr w:type="spellEnd"/>
      <w:r w:rsidR="006750F5">
        <w:t xml:space="preserve"> на ………………………… на …</w:t>
      </w:r>
      <w:r w:rsidRPr="008020FE">
        <w:t>……………………..................................., ЕИК.................................., със седалище и адрес на управление ………………..............................................................,</w:t>
      </w:r>
    </w:p>
    <w:p w:rsidR="001469DD" w:rsidRPr="008020FE" w:rsidRDefault="001469DD" w:rsidP="003815A5">
      <w:pPr>
        <w:spacing w:line="360" w:lineRule="auto"/>
        <w:jc w:val="center"/>
      </w:pPr>
    </w:p>
    <w:p w:rsidR="001469DD" w:rsidRPr="008020FE" w:rsidRDefault="001469DD" w:rsidP="003815A5">
      <w:pPr>
        <w:spacing w:line="360" w:lineRule="auto"/>
        <w:ind w:firstLine="284"/>
        <w:jc w:val="center"/>
      </w:pPr>
      <w:r w:rsidRPr="008020FE">
        <w:t>ДЕКЛАРИРАМ, ЧЕ: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8539"/>
        <w:gridCol w:w="851"/>
      </w:tblGrid>
      <w:tr w:rsidR="00C938C3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938C3" w:rsidRPr="006750F5" w:rsidRDefault="00C938C3" w:rsidP="007D17C4">
            <w:pPr>
              <w:rPr>
                <w:b/>
              </w:rPr>
            </w:pPr>
            <w:r w:rsidRPr="006750F5">
              <w:rPr>
                <w:b/>
              </w:rPr>
              <w:t>1.</w:t>
            </w:r>
          </w:p>
        </w:tc>
        <w:tc>
          <w:tcPr>
            <w:tcW w:w="8539" w:type="dxa"/>
            <w:noWrap/>
          </w:tcPr>
          <w:p w:rsidR="00C938C3" w:rsidRPr="00AA1912" w:rsidRDefault="00C938C3" w:rsidP="00407F97">
            <w:pPr>
              <w:spacing w:before="60"/>
            </w:pPr>
            <w:r w:rsidRPr="00AA1912">
              <w:t>Предприятието, което представлявам</w:t>
            </w:r>
            <w:r w:rsidR="00407F97">
              <w:t>,</w:t>
            </w:r>
            <w:r w:rsidR="005122E7">
              <w:t xml:space="preserve"> </w:t>
            </w:r>
            <w:r>
              <w:t xml:space="preserve">е </w:t>
            </w:r>
            <w:r w:rsidRPr="006750F5">
              <w:rPr>
                <w:b/>
              </w:rPr>
              <w:t>малко или средно предприятие</w:t>
            </w:r>
            <w:r>
              <w:t xml:space="preserve">**, което </w:t>
            </w:r>
            <w:r w:rsidRPr="00AA1912">
              <w:t xml:space="preserve">съществува </w:t>
            </w:r>
            <w:r w:rsidRPr="006750F5">
              <w:rPr>
                <w:b/>
              </w:rPr>
              <w:t>по-малко от три години</w:t>
            </w:r>
            <w:r w:rsidR="00407F97">
              <w:t xml:space="preserve"> </w:t>
            </w:r>
            <w:r>
              <w:t>и не е</w:t>
            </w:r>
            <w:r w:rsidRPr="00AA1912">
              <w:t xml:space="preserve"> в затруднено положение, тъй като:</w:t>
            </w:r>
          </w:p>
        </w:tc>
        <w:tc>
          <w:tcPr>
            <w:tcW w:w="851" w:type="dxa"/>
            <w:vMerge w:val="restart"/>
            <w:vAlign w:val="center"/>
          </w:tcPr>
          <w:p w:rsidR="00C938C3" w:rsidRDefault="00C938C3" w:rsidP="00C14EFC">
            <w:pPr>
              <w:jc w:val="center"/>
            </w:pPr>
          </w:p>
          <w:p w:rsidR="00C938C3" w:rsidRPr="00AA1912" w:rsidRDefault="00C14EFC" w:rsidP="00C14EFC">
            <w:pPr>
              <w:spacing w:before="60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="00940E13">
              <w:fldChar w:fldCharType="separate"/>
            </w:r>
            <w:r w:rsidRPr="006142FB">
              <w:fldChar w:fldCharType="end"/>
            </w:r>
          </w:p>
        </w:tc>
      </w:tr>
      <w:tr w:rsidR="00C938C3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938C3" w:rsidRPr="00AA1912" w:rsidRDefault="00C938C3" w:rsidP="00E52824">
            <w:r w:rsidRPr="00AA1912">
              <w:t>1</w:t>
            </w:r>
            <w:r>
              <w:t>.</w:t>
            </w:r>
            <w:proofErr w:type="spellStart"/>
            <w:r>
              <w:t>1</w:t>
            </w:r>
            <w:proofErr w:type="spellEnd"/>
            <w:r>
              <w:t>.</w:t>
            </w:r>
          </w:p>
        </w:tc>
        <w:tc>
          <w:tcPr>
            <w:tcW w:w="8539" w:type="dxa"/>
            <w:noWrap/>
          </w:tcPr>
          <w:p w:rsidR="00C938C3" w:rsidRPr="00AA1912" w:rsidRDefault="00C938C3" w:rsidP="00E52824">
            <w:pPr>
              <w:spacing w:before="60"/>
            </w:pPr>
            <w:r w:rsidRPr="00AA1912">
              <w:t xml:space="preserve">Не </w:t>
            </w:r>
            <w:r>
              <w:t>е</w:t>
            </w:r>
            <w:r w:rsidRPr="00AA1912">
              <w:t xml:space="preserve"> предприятие, което е в процедура по несъстоятелност или отговаря на критериите на своето вътрешно право, за да бъде обект на такава процедура по искане на неговите кредитори</w:t>
            </w:r>
            <w:r>
              <w:t>;</w:t>
            </w:r>
          </w:p>
        </w:tc>
        <w:tc>
          <w:tcPr>
            <w:tcW w:w="851" w:type="dxa"/>
            <w:vMerge/>
          </w:tcPr>
          <w:p w:rsidR="00C938C3" w:rsidRPr="00AA1912" w:rsidRDefault="00C938C3" w:rsidP="004F12FA">
            <w:pPr>
              <w:spacing w:before="60"/>
            </w:pPr>
          </w:p>
        </w:tc>
      </w:tr>
      <w:tr w:rsidR="00C938C3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938C3" w:rsidRPr="00AA1912" w:rsidRDefault="00C938C3" w:rsidP="00E52824">
            <w:r w:rsidRPr="00AA1912">
              <w:t>1</w:t>
            </w:r>
            <w:r>
              <w:t>.2.</w:t>
            </w:r>
          </w:p>
        </w:tc>
        <w:tc>
          <w:tcPr>
            <w:tcW w:w="8539" w:type="dxa"/>
            <w:noWrap/>
          </w:tcPr>
          <w:p w:rsidR="00C938C3" w:rsidRPr="00AA1912" w:rsidRDefault="00C938C3" w:rsidP="00E52824">
            <w:pPr>
              <w:spacing w:before="60"/>
            </w:pPr>
            <w:r w:rsidRPr="00AA1912">
              <w:t xml:space="preserve">Не </w:t>
            </w:r>
            <w:r>
              <w:t>е</w:t>
            </w:r>
            <w:r w:rsidRPr="00AA1912">
              <w:t xml:space="preserve"> предприятие, което е получило помощ за оздравяване и все още не е възстановило заема или не е прекратило гаранцията, или е получило помощ за преструктуриране и все още е обект на план за преструктуриране</w:t>
            </w:r>
            <w:r>
              <w:t>.</w:t>
            </w:r>
          </w:p>
        </w:tc>
        <w:tc>
          <w:tcPr>
            <w:tcW w:w="851" w:type="dxa"/>
            <w:vMerge/>
          </w:tcPr>
          <w:p w:rsidR="00C938C3" w:rsidRPr="00AA1912" w:rsidRDefault="00C938C3" w:rsidP="004F12FA">
            <w:pPr>
              <w:spacing w:before="60"/>
            </w:pPr>
          </w:p>
        </w:tc>
      </w:tr>
      <w:tr w:rsidR="00C14EFC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14EFC" w:rsidRPr="006750F5" w:rsidRDefault="00C14EFC" w:rsidP="008140D1">
            <w:pPr>
              <w:rPr>
                <w:b/>
              </w:rPr>
            </w:pPr>
            <w:r w:rsidRPr="006750F5">
              <w:rPr>
                <w:b/>
              </w:rPr>
              <w:t>2.</w:t>
            </w:r>
          </w:p>
        </w:tc>
        <w:tc>
          <w:tcPr>
            <w:tcW w:w="8539" w:type="dxa"/>
            <w:noWrap/>
          </w:tcPr>
          <w:p w:rsidR="00C14EFC" w:rsidRPr="00AA1912" w:rsidRDefault="00C14EFC" w:rsidP="00407F97">
            <w:pPr>
              <w:spacing w:before="60"/>
            </w:pPr>
            <w:r w:rsidRPr="00AA1912">
              <w:t xml:space="preserve">Предприятието, което представлявам, </w:t>
            </w:r>
            <w:r>
              <w:t xml:space="preserve">е </w:t>
            </w:r>
            <w:r w:rsidRPr="006750F5">
              <w:rPr>
                <w:b/>
              </w:rPr>
              <w:t>малко или средно предприятие</w:t>
            </w:r>
            <w:r>
              <w:t xml:space="preserve">, което </w:t>
            </w:r>
            <w:r w:rsidRPr="00AA1912">
              <w:t xml:space="preserve">съществува </w:t>
            </w:r>
            <w:r w:rsidRPr="006750F5">
              <w:rPr>
                <w:b/>
              </w:rPr>
              <w:t>три или повече години</w:t>
            </w:r>
            <w:r w:rsidR="00407F97">
              <w:t xml:space="preserve"> </w:t>
            </w:r>
            <w:r>
              <w:t>и не е</w:t>
            </w:r>
            <w:r w:rsidRPr="00AA1912">
              <w:t xml:space="preserve"> в затруднено положение, тъй като:</w:t>
            </w:r>
          </w:p>
        </w:tc>
        <w:tc>
          <w:tcPr>
            <w:tcW w:w="851" w:type="dxa"/>
            <w:vMerge w:val="restart"/>
            <w:vAlign w:val="center"/>
          </w:tcPr>
          <w:p w:rsidR="00C14EFC" w:rsidRPr="00AA1912" w:rsidRDefault="00C14EFC" w:rsidP="00B555E0">
            <w:pPr>
              <w:spacing w:before="60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="00940E13">
              <w:fldChar w:fldCharType="separate"/>
            </w:r>
            <w:r w:rsidRPr="006142FB">
              <w:fldChar w:fldCharType="end"/>
            </w:r>
          </w:p>
        </w:tc>
      </w:tr>
      <w:tr w:rsidR="00C14EFC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14EFC" w:rsidRPr="00AA1912" w:rsidRDefault="00C14EFC" w:rsidP="008140D1">
            <w:r>
              <w:t>2.1.</w:t>
            </w:r>
          </w:p>
        </w:tc>
        <w:tc>
          <w:tcPr>
            <w:tcW w:w="8539" w:type="dxa"/>
            <w:noWrap/>
          </w:tcPr>
          <w:p w:rsidR="00C14EFC" w:rsidRPr="003815A5" w:rsidRDefault="00C14EFC" w:rsidP="005B7C93">
            <w:pPr>
              <w:spacing w:before="60"/>
              <w:rPr>
                <w:lang w:val="en-US"/>
              </w:rPr>
            </w:pPr>
            <w:r w:rsidRPr="00AA1912">
              <w:t xml:space="preserve">Не </w:t>
            </w:r>
            <w:r>
              <w:t>е</w:t>
            </w:r>
            <w:r w:rsidRPr="00AA1912">
              <w:t xml:space="preserve"> акционерно дружество, </w:t>
            </w:r>
            <w:proofErr w:type="spellStart"/>
            <w:r w:rsidRPr="00AA1912">
              <w:t>дружество</w:t>
            </w:r>
            <w:proofErr w:type="spellEnd"/>
            <w:r w:rsidRPr="00AA1912">
              <w:t xml:space="preserve"> с ограничена отговорност, командитно дружество с акции, кооперация или други дружества по Приложение I към Директива 2013/34/ЕС, чийто записан капитал е намалял с повече от половината поради натрупани загуби</w:t>
            </w:r>
            <w:r>
              <w:t>. Такъв е случаят, когато</w:t>
            </w:r>
            <w:r w:rsidRPr="00AA1912">
              <w:t xml:space="preserve"> приспадането на натрупаните загуби от резервите (и всички други елементи, които по принцип се считат за част от собствения капитал на дружеството) </w:t>
            </w:r>
            <w:r>
              <w:t>води</w:t>
            </w:r>
            <w:r w:rsidRPr="00AA1912">
              <w:t xml:space="preserve"> до отрицателен </w:t>
            </w:r>
            <w:r>
              <w:t>сбор</w:t>
            </w:r>
            <w:r w:rsidRPr="00AA1912">
              <w:t>, който надхвърля половината от записания капитал на дружеството</w:t>
            </w:r>
            <w:r>
              <w:rPr>
                <w:lang w:val="en-US"/>
              </w:rPr>
              <w:t>;</w:t>
            </w:r>
          </w:p>
        </w:tc>
        <w:tc>
          <w:tcPr>
            <w:tcW w:w="851" w:type="dxa"/>
            <w:vMerge/>
          </w:tcPr>
          <w:p w:rsidR="00C14EFC" w:rsidRPr="00E52824" w:rsidRDefault="00C14EFC" w:rsidP="008140D1">
            <w:pPr>
              <w:spacing w:before="60"/>
            </w:pPr>
          </w:p>
        </w:tc>
      </w:tr>
      <w:tr w:rsidR="00C14EFC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14EFC" w:rsidRPr="00AA1912" w:rsidRDefault="00C14EFC" w:rsidP="008140D1">
            <w:r>
              <w:t>2.</w:t>
            </w:r>
            <w:proofErr w:type="spellStart"/>
            <w:r>
              <w:t>2</w:t>
            </w:r>
            <w:proofErr w:type="spellEnd"/>
            <w:r>
              <w:t>.</w:t>
            </w:r>
          </w:p>
        </w:tc>
        <w:tc>
          <w:tcPr>
            <w:tcW w:w="8539" w:type="dxa"/>
            <w:noWrap/>
          </w:tcPr>
          <w:p w:rsidR="00C14EFC" w:rsidRPr="00AA1912" w:rsidRDefault="00C14EFC" w:rsidP="00E52824">
            <w:pPr>
              <w:spacing w:before="60"/>
            </w:pPr>
            <w:r w:rsidRPr="00AA1912">
              <w:t xml:space="preserve">Не </w:t>
            </w:r>
            <w:r>
              <w:t>е</w:t>
            </w:r>
            <w:r w:rsidRPr="00AA1912">
              <w:t xml:space="preserve"> събирателно дружество, командитно дружество или друг</w:t>
            </w:r>
            <w:r>
              <w:t>о</w:t>
            </w:r>
            <w:r w:rsidRPr="00AA1912">
              <w:t xml:space="preserve"> лиц</w:t>
            </w:r>
            <w:r>
              <w:t>е</w:t>
            </w:r>
            <w:r w:rsidRPr="00AA1912">
              <w:t xml:space="preserve"> по Приложение II към Директива 2013/34/ЕС, чийто капитал, вписан в баланса на дружеството, е намалял с повече от половината поради натрупани загуби</w:t>
            </w:r>
            <w:r>
              <w:t>.</w:t>
            </w:r>
            <w:r w:rsidRPr="00AA1912">
              <w:t xml:space="preserve"> За еднолични търговци изискването се прилага съответно</w:t>
            </w:r>
            <w:r>
              <w:t>;</w:t>
            </w:r>
          </w:p>
        </w:tc>
        <w:tc>
          <w:tcPr>
            <w:tcW w:w="851" w:type="dxa"/>
            <w:vMerge/>
          </w:tcPr>
          <w:p w:rsidR="00C14EFC" w:rsidRPr="00AA1912" w:rsidRDefault="00C14EFC" w:rsidP="008140D1">
            <w:pPr>
              <w:spacing w:before="60"/>
            </w:pPr>
          </w:p>
        </w:tc>
      </w:tr>
      <w:tr w:rsidR="00C14EFC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14EFC" w:rsidRPr="005B7C93" w:rsidRDefault="00C14EFC" w:rsidP="008140D1">
            <w:r w:rsidRPr="005B7C93">
              <w:t>2.3.</w:t>
            </w:r>
          </w:p>
        </w:tc>
        <w:tc>
          <w:tcPr>
            <w:tcW w:w="8539" w:type="dxa"/>
            <w:noWrap/>
          </w:tcPr>
          <w:p w:rsidR="00C14EFC" w:rsidRPr="005B7C93" w:rsidRDefault="00C14EFC" w:rsidP="00B4425D">
            <w:pPr>
              <w:spacing w:before="60"/>
            </w:pPr>
            <w:r w:rsidRPr="005B7C93">
              <w:t xml:space="preserve">Не е предприятие, което е в процедура по несъстоятелност или отговаря на </w:t>
            </w:r>
            <w:r w:rsidR="00B4425D" w:rsidRPr="005B7C93">
              <w:t>нормативно установените критерии</w:t>
            </w:r>
            <w:r w:rsidRPr="005B7C93">
              <w:t>, за да бъде обект на такава процедура по искане на неговите кредитори;</w:t>
            </w:r>
          </w:p>
        </w:tc>
        <w:tc>
          <w:tcPr>
            <w:tcW w:w="851" w:type="dxa"/>
            <w:vMerge/>
          </w:tcPr>
          <w:p w:rsidR="00C14EFC" w:rsidRPr="00AA1912" w:rsidRDefault="00C14EFC" w:rsidP="008140D1">
            <w:pPr>
              <w:spacing w:before="60"/>
            </w:pPr>
          </w:p>
        </w:tc>
      </w:tr>
      <w:tr w:rsidR="00C14EFC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14EFC" w:rsidRPr="00AA1912" w:rsidRDefault="00C14EFC" w:rsidP="008140D1">
            <w:r>
              <w:t>2.4.</w:t>
            </w:r>
          </w:p>
        </w:tc>
        <w:tc>
          <w:tcPr>
            <w:tcW w:w="8539" w:type="dxa"/>
            <w:noWrap/>
          </w:tcPr>
          <w:p w:rsidR="00C14EFC" w:rsidRPr="00AA1912" w:rsidRDefault="00C14EFC" w:rsidP="00E52824">
            <w:pPr>
              <w:spacing w:before="60"/>
            </w:pPr>
            <w:r w:rsidRPr="00AA1912">
              <w:t xml:space="preserve">Не </w:t>
            </w:r>
            <w:r>
              <w:t>е</w:t>
            </w:r>
            <w:r w:rsidRPr="00AA1912">
              <w:t xml:space="preserve"> предприятие, което е получило помощ за оздравяване и все още не е възстановило заема или не е прекратило гаранцията, или е получило помощ за преструктуриране и все още е обект на план за преструктуриране</w:t>
            </w:r>
            <w:r>
              <w:t>.</w:t>
            </w:r>
          </w:p>
        </w:tc>
        <w:tc>
          <w:tcPr>
            <w:tcW w:w="851" w:type="dxa"/>
            <w:vMerge/>
          </w:tcPr>
          <w:p w:rsidR="00C14EFC" w:rsidRPr="00AA1912" w:rsidRDefault="00C14EFC" w:rsidP="008140D1">
            <w:pPr>
              <w:spacing w:before="60"/>
            </w:pPr>
          </w:p>
        </w:tc>
      </w:tr>
      <w:tr w:rsidR="00C14EFC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14EFC" w:rsidRPr="006750F5" w:rsidRDefault="00C14EFC" w:rsidP="00E52824">
            <w:pPr>
              <w:rPr>
                <w:b/>
              </w:rPr>
            </w:pPr>
            <w:r w:rsidRPr="006750F5">
              <w:rPr>
                <w:b/>
              </w:rPr>
              <w:t>3.</w:t>
            </w:r>
          </w:p>
        </w:tc>
        <w:tc>
          <w:tcPr>
            <w:tcW w:w="8539" w:type="dxa"/>
            <w:noWrap/>
          </w:tcPr>
          <w:p w:rsidR="00C14EFC" w:rsidRPr="00AF1A73" w:rsidRDefault="00C14EFC" w:rsidP="00AF1A73">
            <w:pPr>
              <w:spacing w:before="60"/>
            </w:pPr>
            <w:r w:rsidRPr="00AF1A73">
              <w:t xml:space="preserve">Предприятието, което представлявам, е </w:t>
            </w:r>
            <w:r w:rsidRPr="00AF1A73">
              <w:rPr>
                <w:b/>
              </w:rPr>
              <w:t>голямо предприятие</w:t>
            </w:r>
            <w:r w:rsidR="006750F5" w:rsidRPr="00AF1A73">
              <w:t>***</w:t>
            </w:r>
            <w:r w:rsidRPr="00AF1A73">
              <w:t xml:space="preserve"> и не е в затруднено положение, тъй като:</w:t>
            </w:r>
          </w:p>
        </w:tc>
        <w:tc>
          <w:tcPr>
            <w:tcW w:w="851" w:type="dxa"/>
            <w:vMerge w:val="restart"/>
            <w:vAlign w:val="center"/>
          </w:tcPr>
          <w:p w:rsidR="00C14EFC" w:rsidRDefault="00C14EFC" w:rsidP="00B555E0">
            <w:pPr>
              <w:jc w:val="center"/>
            </w:pPr>
          </w:p>
          <w:p w:rsidR="00C14EFC" w:rsidRPr="00AA1912" w:rsidRDefault="00C14EFC" w:rsidP="00B555E0">
            <w:pPr>
              <w:spacing w:before="60"/>
              <w:jc w:val="center"/>
            </w:pPr>
            <w:r w:rsidRPr="006142FB">
              <w:fldChar w:fldCharType="begin">
                <w:ffData>
                  <w:name w:val=""/>
                  <w:enabled/>
                  <w:calcOnExit/>
                  <w:checkBox>
                    <w:sizeAuto/>
                    <w:default w:val="0"/>
                  </w:checkBox>
                </w:ffData>
              </w:fldChar>
            </w:r>
            <w:r w:rsidRPr="006142FB">
              <w:instrText xml:space="preserve"> FORMCHECKBOX </w:instrText>
            </w:r>
            <w:r w:rsidR="00940E13">
              <w:fldChar w:fldCharType="separate"/>
            </w:r>
            <w:r w:rsidRPr="006142FB">
              <w:fldChar w:fldCharType="end"/>
            </w:r>
          </w:p>
        </w:tc>
      </w:tr>
      <w:tr w:rsidR="00C14EFC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14EFC" w:rsidRPr="00AA1912" w:rsidRDefault="00C14EFC" w:rsidP="008140D1">
            <w:r>
              <w:lastRenderedPageBreak/>
              <w:t>3.1.</w:t>
            </w:r>
          </w:p>
        </w:tc>
        <w:tc>
          <w:tcPr>
            <w:tcW w:w="8539" w:type="dxa"/>
            <w:noWrap/>
          </w:tcPr>
          <w:p w:rsidR="00C14EFC" w:rsidRPr="003815A5" w:rsidRDefault="00C14EFC" w:rsidP="00AF1A73">
            <w:pPr>
              <w:spacing w:before="60"/>
              <w:rPr>
                <w:lang w:val="en-US"/>
              </w:rPr>
            </w:pPr>
            <w:r w:rsidRPr="00AA1912">
              <w:t xml:space="preserve">Не </w:t>
            </w:r>
            <w:r>
              <w:t>е</w:t>
            </w:r>
            <w:r w:rsidRPr="00AA1912">
              <w:t xml:space="preserve"> акционерно дружество, </w:t>
            </w:r>
            <w:proofErr w:type="spellStart"/>
            <w:r w:rsidRPr="00AA1912">
              <w:t>дружество</w:t>
            </w:r>
            <w:proofErr w:type="spellEnd"/>
            <w:r w:rsidRPr="00AA1912">
              <w:t xml:space="preserve"> с ограничена отговорност, командитно дружество с акции, кооперация или други дружества по Приложение I към Директива 2013/34/ЕС, чийто записан капитал е намалял с повече от половината поради натрупани загуби</w:t>
            </w:r>
            <w:r>
              <w:t>. Такъв е случаят, когато</w:t>
            </w:r>
            <w:r w:rsidRPr="00AA1912">
              <w:t xml:space="preserve"> приспадането на натрупаните загуби от резервите (и всички други елементи, които по принцип се считат за част от собствения капитал на дружеството) </w:t>
            </w:r>
            <w:r>
              <w:t>води</w:t>
            </w:r>
            <w:r w:rsidRPr="00AA1912">
              <w:t xml:space="preserve"> до отрицателен </w:t>
            </w:r>
            <w:r>
              <w:t>сбор</w:t>
            </w:r>
            <w:r w:rsidRPr="00AA1912">
              <w:t>, който надхвърля половината от записания капитал на дружеството</w:t>
            </w:r>
            <w:r>
              <w:rPr>
                <w:lang w:val="en-US"/>
              </w:rPr>
              <w:t>;</w:t>
            </w:r>
          </w:p>
        </w:tc>
        <w:tc>
          <w:tcPr>
            <w:tcW w:w="851" w:type="dxa"/>
            <w:vMerge/>
          </w:tcPr>
          <w:p w:rsidR="00C14EFC" w:rsidRPr="003815A5" w:rsidRDefault="00C14EFC" w:rsidP="004F12FA">
            <w:pPr>
              <w:spacing w:before="60"/>
              <w:rPr>
                <w:lang w:val="en-US"/>
              </w:rPr>
            </w:pPr>
          </w:p>
        </w:tc>
      </w:tr>
      <w:tr w:rsidR="00C14EFC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14EFC" w:rsidRPr="00AA1912" w:rsidRDefault="00C14EFC" w:rsidP="008140D1">
            <w:r>
              <w:t>3.2.</w:t>
            </w:r>
          </w:p>
        </w:tc>
        <w:tc>
          <w:tcPr>
            <w:tcW w:w="8539" w:type="dxa"/>
            <w:noWrap/>
          </w:tcPr>
          <w:p w:rsidR="00C14EFC" w:rsidRPr="00AA1912" w:rsidRDefault="00C14EFC" w:rsidP="008140D1">
            <w:pPr>
              <w:spacing w:before="60"/>
            </w:pPr>
            <w:r w:rsidRPr="00AA1912">
              <w:t xml:space="preserve">Не </w:t>
            </w:r>
            <w:r>
              <w:t>е</w:t>
            </w:r>
            <w:r w:rsidRPr="00AA1912">
              <w:t xml:space="preserve"> събирателно дружество, командитно дружество или друг</w:t>
            </w:r>
            <w:r>
              <w:t>о</w:t>
            </w:r>
            <w:r w:rsidRPr="00AA1912">
              <w:t xml:space="preserve"> лиц</w:t>
            </w:r>
            <w:r>
              <w:t>е</w:t>
            </w:r>
            <w:r w:rsidRPr="00AA1912">
              <w:t xml:space="preserve"> по Приложение II към Директива 2013/34/ЕС, чийто капитал, вписан в баланса на дружеството, е намалял с повече от половината поради натрупани загуби</w:t>
            </w:r>
            <w:r>
              <w:t>.</w:t>
            </w:r>
            <w:r w:rsidRPr="00AA1912">
              <w:t xml:space="preserve"> За еднолични търговци изискването се прилага съответно</w:t>
            </w:r>
            <w:r>
              <w:t>;</w:t>
            </w:r>
          </w:p>
        </w:tc>
        <w:tc>
          <w:tcPr>
            <w:tcW w:w="851" w:type="dxa"/>
            <w:vMerge/>
          </w:tcPr>
          <w:p w:rsidR="00C14EFC" w:rsidRPr="00AA1912" w:rsidRDefault="00C14EFC" w:rsidP="004F12FA">
            <w:pPr>
              <w:spacing w:before="60"/>
            </w:pPr>
          </w:p>
        </w:tc>
      </w:tr>
      <w:tr w:rsidR="00C14EFC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14EFC" w:rsidRPr="00AF1A73" w:rsidRDefault="00C14EFC" w:rsidP="008140D1">
            <w:r w:rsidRPr="00AF1A73">
              <w:t>3.</w:t>
            </w:r>
            <w:proofErr w:type="spellStart"/>
            <w:r w:rsidRPr="00AF1A73">
              <w:t>3</w:t>
            </w:r>
            <w:proofErr w:type="spellEnd"/>
            <w:r w:rsidRPr="00AF1A73">
              <w:t>.</w:t>
            </w:r>
          </w:p>
        </w:tc>
        <w:tc>
          <w:tcPr>
            <w:tcW w:w="8539" w:type="dxa"/>
            <w:noWrap/>
          </w:tcPr>
          <w:p w:rsidR="00C14EFC" w:rsidRPr="00AA1912" w:rsidRDefault="00C14EFC" w:rsidP="00E52824">
            <w:pPr>
              <w:spacing w:before="60"/>
            </w:pPr>
            <w:r w:rsidRPr="00AF1A73">
              <w:t xml:space="preserve">Не е предприятие, което е в процедура по несъстоятелност или отговаря на </w:t>
            </w:r>
            <w:r w:rsidR="00B4425D" w:rsidRPr="00AF1A73">
              <w:t>нормативно установените критерии</w:t>
            </w:r>
            <w:r w:rsidRPr="00AF1A73">
              <w:t>, за да бъде обект на такава процедура по искане на неговите кредитори;</w:t>
            </w:r>
          </w:p>
        </w:tc>
        <w:tc>
          <w:tcPr>
            <w:tcW w:w="851" w:type="dxa"/>
            <w:vMerge/>
          </w:tcPr>
          <w:p w:rsidR="00C14EFC" w:rsidRPr="00AA1912" w:rsidRDefault="00C14EFC" w:rsidP="004F12FA">
            <w:pPr>
              <w:spacing w:before="60"/>
            </w:pPr>
          </w:p>
        </w:tc>
      </w:tr>
      <w:tr w:rsidR="00C14EFC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14EFC" w:rsidRPr="00AA1912" w:rsidRDefault="00C14EFC" w:rsidP="008140D1">
            <w:r>
              <w:t>3.4.</w:t>
            </w:r>
          </w:p>
        </w:tc>
        <w:tc>
          <w:tcPr>
            <w:tcW w:w="8539" w:type="dxa"/>
            <w:noWrap/>
          </w:tcPr>
          <w:p w:rsidR="00C14EFC" w:rsidRPr="00AA1912" w:rsidRDefault="00C14EFC" w:rsidP="00E52824">
            <w:pPr>
              <w:spacing w:before="60"/>
            </w:pPr>
            <w:r w:rsidRPr="00AA1912">
              <w:t xml:space="preserve">Не </w:t>
            </w:r>
            <w:r>
              <w:t>е</w:t>
            </w:r>
            <w:r w:rsidRPr="00AA1912">
              <w:t xml:space="preserve"> предприятие, което е получило помощ за оздравяване и все още не е възстановило заема или не е прекратило гаранцията, или е получило помощ за преструктуриране и все още е обект на план за преструктуриране</w:t>
            </w:r>
            <w:r>
              <w:t>;</w:t>
            </w:r>
          </w:p>
        </w:tc>
        <w:tc>
          <w:tcPr>
            <w:tcW w:w="851" w:type="dxa"/>
            <w:vMerge/>
          </w:tcPr>
          <w:p w:rsidR="00C14EFC" w:rsidRPr="00AA1912" w:rsidRDefault="00C14EFC" w:rsidP="004F12FA">
            <w:pPr>
              <w:spacing w:before="60"/>
            </w:pPr>
          </w:p>
        </w:tc>
      </w:tr>
      <w:tr w:rsidR="00C14EFC" w:rsidRPr="007F6DAD" w:rsidTr="006750F5">
        <w:trPr>
          <w:cantSplit/>
          <w:trHeight w:val="405"/>
        </w:trPr>
        <w:tc>
          <w:tcPr>
            <w:tcW w:w="675" w:type="dxa"/>
            <w:noWrap/>
            <w:vAlign w:val="center"/>
          </w:tcPr>
          <w:p w:rsidR="00C14EFC" w:rsidRPr="00AA1912" w:rsidRDefault="00C14EFC" w:rsidP="008140D1">
            <w:r>
              <w:t>3.5.</w:t>
            </w:r>
          </w:p>
        </w:tc>
        <w:tc>
          <w:tcPr>
            <w:tcW w:w="8539" w:type="dxa"/>
            <w:noWrap/>
          </w:tcPr>
          <w:p w:rsidR="00C14EFC" w:rsidRPr="00AA1912" w:rsidRDefault="00C14EFC" w:rsidP="008140D1">
            <w:pPr>
              <w:spacing w:before="60"/>
            </w:pPr>
            <w:r w:rsidRPr="00AA1912">
              <w:t xml:space="preserve">Не </w:t>
            </w:r>
            <w:r>
              <w:t>е</w:t>
            </w:r>
            <w:r w:rsidRPr="00AA1912">
              <w:t xml:space="preserve"> предприятие, при което през последните две години:</w:t>
            </w:r>
          </w:p>
          <w:p w:rsidR="00C14EFC" w:rsidRDefault="00C14EFC" w:rsidP="00E52824">
            <w:pPr>
              <w:numPr>
                <w:ilvl w:val="0"/>
                <w:numId w:val="6"/>
              </w:numPr>
              <w:spacing w:before="60"/>
              <w:ind w:left="351" w:hanging="351"/>
            </w:pPr>
            <w:r w:rsidRPr="00AA1912">
              <w:t>съотношението задължения/собствен капитал на предприятието е било по-голямо от 7,5 и</w:t>
            </w:r>
          </w:p>
          <w:p w:rsidR="00C14EFC" w:rsidRPr="00AA1912" w:rsidRDefault="00C14EFC" w:rsidP="00E52824">
            <w:pPr>
              <w:numPr>
                <w:ilvl w:val="0"/>
                <w:numId w:val="6"/>
              </w:numPr>
              <w:spacing w:before="60"/>
              <w:ind w:left="351" w:hanging="351"/>
            </w:pPr>
            <w:r w:rsidRPr="00AA1912">
              <w:t>съотношението EBITDA/лихвено покритие на предприятието е било под 1,0.</w:t>
            </w:r>
          </w:p>
        </w:tc>
        <w:tc>
          <w:tcPr>
            <w:tcW w:w="851" w:type="dxa"/>
            <w:vMerge/>
          </w:tcPr>
          <w:p w:rsidR="00C14EFC" w:rsidRPr="00AA1912" w:rsidRDefault="00C14EFC" w:rsidP="00E52824">
            <w:pPr>
              <w:spacing w:before="60"/>
            </w:pPr>
          </w:p>
        </w:tc>
      </w:tr>
    </w:tbl>
    <w:p w:rsidR="001469DD" w:rsidRDefault="001469DD" w:rsidP="003815A5">
      <w:pPr>
        <w:spacing w:line="360" w:lineRule="auto"/>
      </w:pPr>
    </w:p>
    <w:p w:rsidR="003815A5" w:rsidRPr="003815A5" w:rsidRDefault="003815A5" w:rsidP="003815A5">
      <w:pPr>
        <w:spacing w:line="360" w:lineRule="auto"/>
      </w:pPr>
    </w:p>
    <w:p w:rsidR="003815A5" w:rsidRPr="006D1000" w:rsidRDefault="003815A5" w:rsidP="003815A5">
      <w:pPr>
        <w:spacing w:line="360" w:lineRule="auto"/>
      </w:pPr>
      <w:r w:rsidRPr="008020FE">
        <w:t>Дата:</w:t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  <w:t>ДЕКЛАРАТОР:</w:t>
      </w:r>
      <w:r w:rsidRPr="003815A5">
        <w:t xml:space="preserve"> …</w:t>
      </w:r>
      <w:r>
        <w:t>…………………..</w:t>
      </w:r>
    </w:p>
    <w:p w:rsidR="003815A5" w:rsidRPr="003815A5" w:rsidRDefault="003815A5" w:rsidP="003815A5">
      <w:pPr>
        <w:spacing w:line="360" w:lineRule="auto"/>
      </w:pP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</w:r>
      <w:r w:rsidRPr="008020FE">
        <w:tab/>
        <w:t>(Подпис)</w:t>
      </w:r>
    </w:p>
    <w:p w:rsidR="003815A5" w:rsidRDefault="003815A5" w:rsidP="004A12B2"/>
    <w:p w:rsidR="00C45A21" w:rsidRPr="003815A5" w:rsidRDefault="00C45A21" w:rsidP="004A12B2"/>
    <w:p w:rsidR="001469DD" w:rsidRPr="00C45A21" w:rsidRDefault="001469DD" w:rsidP="004A12B2">
      <w:pPr>
        <w:jc w:val="both"/>
        <w:rPr>
          <w:sz w:val="22"/>
          <w:szCs w:val="22"/>
        </w:rPr>
      </w:pPr>
      <w:r w:rsidRPr="00C45A21">
        <w:rPr>
          <w:sz w:val="22"/>
          <w:szCs w:val="22"/>
        </w:rPr>
        <w:t>*</w:t>
      </w:r>
      <w:r w:rsidR="009B4034" w:rsidRPr="00C45A21">
        <w:rPr>
          <w:sz w:val="22"/>
          <w:szCs w:val="22"/>
        </w:rPr>
        <w:t xml:space="preserve"> </w:t>
      </w:r>
      <w:r w:rsidR="00AA1912" w:rsidRPr="00C45A21">
        <w:rPr>
          <w:sz w:val="22"/>
          <w:szCs w:val="22"/>
        </w:rPr>
        <w:t>Декларацията се подписва от лицето, оправомощено да пре</w:t>
      </w:r>
      <w:r w:rsidR="006750F5" w:rsidRPr="00C45A21">
        <w:rPr>
          <w:sz w:val="22"/>
          <w:szCs w:val="22"/>
        </w:rPr>
        <w:t>дставлява кандидата. В случаите</w:t>
      </w:r>
      <w:r w:rsidR="00AA1912" w:rsidRPr="00C45A21">
        <w:rPr>
          <w:sz w:val="22"/>
          <w:szCs w:val="22"/>
        </w:rPr>
        <w:t xml:space="preserve"> когато предприятието се представлява заедно от няколко лица, се попълват данните им и декларацията се подписва от всички тях</w:t>
      </w:r>
      <w:r w:rsidR="009B4034" w:rsidRPr="00C45A21">
        <w:rPr>
          <w:sz w:val="22"/>
          <w:szCs w:val="22"/>
        </w:rPr>
        <w:t>.</w:t>
      </w:r>
    </w:p>
    <w:p w:rsidR="003815A5" w:rsidRPr="00C45A21" w:rsidRDefault="001469DD" w:rsidP="004A12B2">
      <w:pPr>
        <w:jc w:val="both"/>
        <w:rPr>
          <w:sz w:val="22"/>
          <w:szCs w:val="22"/>
        </w:rPr>
      </w:pPr>
      <w:r w:rsidRPr="00C45A21">
        <w:rPr>
          <w:sz w:val="22"/>
          <w:szCs w:val="22"/>
        </w:rPr>
        <w:t>**</w:t>
      </w:r>
      <w:r w:rsidR="00AA1912" w:rsidRPr="00C45A21">
        <w:rPr>
          <w:sz w:val="22"/>
          <w:szCs w:val="22"/>
        </w:rPr>
        <w:t xml:space="preserve"> Малко и средно предприятие (МСП) съгласно определението, дадено в Препоръка 2003/361/ЕО на Комисията от 6 май 2003 г. относно определянето на </w:t>
      </w:r>
      <w:proofErr w:type="spellStart"/>
      <w:r w:rsidR="00AA1912" w:rsidRPr="00C45A21">
        <w:rPr>
          <w:sz w:val="22"/>
          <w:szCs w:val="22"/>
        </w:rPr>
        <w:t>микро-</w:t>
      </w:r>
      <w:proofErr w:type="spellEnd"/>
      <w:r w:rsidR="00AA1912" w:rsidRPr="00C45A21">
        <w:rPr>
          <w:sz w:val="22"/>
          <w:szCs w:val="22"/>
        </w:rPr>
        <w:t xml:space="preserve">, малките и средните предприятия (ОВ L 124,20.5.2003 г., стр. 36). </w:t>
      </w:r>
    </w:p>
    <w:p w:rsidR="009B4034" w:rsidRPr="00C45A21" w:rsidRDefault="009B4034" w:rsidP="004A12B2">
      <w:pPr>
        <w:jc w:val="both"/>
        <w:rPr>
          <w:sz w:val="22"/>
          <w:szCs w:val="22"/>
        </w:rPr>
      </w:pPr>
      <w:r w:rsidRPr="00774D5B">
        <w:rPr>
          <w:sz w:val="22"/>
          <w:szCs w:val="22"/>
        </w:rPr>
        <w:t xml:space="preserve">*** </w:t>
      </w:r>
      <w:r w:rsidR="006750F5" w:rsidRPr="00C45A21">
        <w:rPr>
          <w:sz w:val="22"/>
          <w:szCs w:val="22"/>
        </w:rPr>
        <w:t>Голямо предприятие е предприятие, което не е МСП.</w:t>
      </w:r>
    </w:p>
    <w:p w:rsidR="006750F5" w:rsidRPr="00C45A21" w:rsidRDefault="006750F5" w:rsidP="004A12B2">
      <w:pPr>
        <w:jc w:val="both"/>
        <w:rPr>
          <w:sz w:val="22"/>
          <w:szCs w:val="22"/>
        </w:rPr>
      </w:pPr>
    </w:p>
    <w:sectPr w:rsidR="006750F5" w:rsidRPr="00C45A21" w:rsidSect="003815A5">
      <w:footerReference w:type="even" r:id="rId9"/>
      <w:footerReference w:type="default" r:id="rId10"/>
      <w:pgSz w:w="11906" w:h="16838" w:code="9"/>
      <w:pgMar w:top="907" w:right="707" w:bottom="1077" w:left="1276" w:header="709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E13" w:rsidRDefault="00940E13">
      <w:r>
        <w:separator/>
      </w:r>
    </w:p>
  </w:endnote>
  <w:endnote w:type="continuationSeparator" w:id="0">
    <w:p w:rsidR="00940E13" w:rsidRDefault="00940E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7E" w:rsidRDefault="00E5717E" w:rsidP="00344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5717E" w:rsidRDefault="00E5717E" w:rsidP="00E5717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17E" w:rsidRDefault="00E5717E" w:rsidP="0034405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74FA8">
      <w:rPr>
        <w:rStyle w:val="PageNumber"/>
        <w:noProof/>
      </w:rPr>
      <w:t>1</w:t>
    </w:r>
    <w:r>
      <w:rPr>
        <w:rStyle w:val="PageNumber"/>
      </w:rPr>
      <w:fldChar w:fldCharType="end"/>
    </w:r>
  </w:p>
  <w:p w:rsidR="00E5717E" w:rsidRDefault="00E5717E" w:rsidP="00E5717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E13" w:rsidRDefault="00940E13">
      <w:r>
        <w:separator/>
      </w:r>
    </w:p>
  </w:footnote>
  <w:footnote w:type="continuationSeparator" w:id="0">
    <w:p w:rsidR="00940E13" w:rsidRDefault="00940E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44945"/>
    <w:multiLevelType w:val="hybridMultilevel"/>
    <w:tmpl w:val="201643A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8A03E2"/>
    <w:multiLevelType w:val="hybridMultilevel"/>
    <w:tmpl w:val="D59087B4"/>
    <w:lvl w:ilvl="0" w:tplc="EBAA7BD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D86D8C"/>
    <w:multiLevelType w:val="hybridMultilevel"/>
    <w:tmpl w:val="16C6021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D426A9"/>
    <w:multiLevelType w:val="hybridMultilevel"/>
    <w:tmpl w:val="3DD4473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53344B5"/>
    <w:multiLevelType w:val="multilevel"/>
    <w:tmpl w:val="201643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9D0BE2"/>
    <w:multiLevelType w:val="hybridMultilevel"/>
    <w:tmpl w:val="5C581D0A"/>
    <w:lvl w:ilvl="0" w:tplc="B9044D42">
      <w:start w:val="1"/>
      <w:numFmt w:val="bullet"/>
      <w:lvlText w:val="-"/>
      <w:lvlJc w:val="left"/>
      <w:pPr>
        <w:ind w:left="677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6F1"/>
    <w:rsid w:val="00000255"/>
    <w:rsid w:val="00012CDC"/>
    <w:rsid w:val="00026C21"/>
    <w:rsid w:val="00031AB9"/>
    <w:rsid w:val="00042B7B"/>
    <w:rsid w:val="00047CAE"/>
    <w:rsid w:val="00050096"/>
    <w:rsid w:val="00050757"/>
    <w:rsid w:val="00051143"/>
    <w:rsid w:val="000603AE"/>
    <w:rsid w:val="00063EA1"/>
    <w:rsid w:val="00065DF6"/>
    <w:rsid w:val="00070A63"/>
    <w:rsid w:val="00071DA9"/>
    <w:rsid w:val="00073295"/>
    <w:rsid w:val="00074764"/>
    <w:rsid w:val="00074F0D"/>
    <w:rsid w:val="000763CE"/>
    <w:rsid w:val="0007692C"/>
    <w:rsid w:val="00080241"/>
    <w:rsid w:val="00080EF3"/>
    <w:rsid w:val="00082D06"/>
    <w:rsid w:val="00085EDE"/>
    <w:rsid w:val="00091B0A"/>
    <w:rsid w:val="00095AAB"/>
    <w:rsid w:val="000A0B37"/>
    <w:rsid w:val="000A752A"/>
    <w:rsid w:val="000B00E7"/>
    <w:rsid w:val="000B3A76"/>
    <w:rsid w:val="000B5CB6"/>
    <w:rsid w:val="000C4E67"/>
    <w:rsid w:val="000D246F"/>
    <w:rsid w:val="000D263A"/>
    <w:rsid w:val="000D66CC"/>
    <w:rsid w:val="000D7CFE"/>
    <w:rsid w:val="000E20EC"/>
    <w:rsid w:val="000F5894"/>
    <w:rsid w:val="001254B7"/>
    <w:rsid w:val="00126313"/>
    <w:rsid w:val="00126FBB"/>
    <w:rsid w:val="00132869"/>
    <w:rsid w:val="00135BD8"/>
    <w:rsid w:val="00137CE9"/>
    <w:rsid w:val="00137D95"/>
    <w:rsid w:val="00141D9A"/>
    <w:rsid w:val="00145BD8"/>
    <w:rsid w:val="001469DD"/>
    <w:rsid w:val="0015262E"/>
    <w:rsid w:val="001527E0"/>
    <w:rsid w:val="001555B8"/>
    <w:rsid w:val="001574AF"/>
    <w:rsid w:val="00171F17"/>
    <w:rsid w:val="0017219B"/>
    <w:rsid w:val="001817F6"/>
    <w:rsid w:val="00182DD2"/>
    <w:rsid w:val="00196F0C"/>
    <w:rsid w:val="001B070F"/>
    <w:rsid w:val="001B4657"/>
    <w:rsid w:val="001B521C"/>
    <w:rsid w:val="001C4872"/>
    <w:rsid w:val="001C4E8C"/>
    <w:rsid w:val="001C6B23"/>
    <w:rsid w:val="001C79AB"/>
    <w:rsid w:val="001D4727"/>
    <w:rsid w:val="001E0169"/>
    <w:rsid w:val="001E7CEA"/>
    <w:rsid w:val="001F29CE"/>
    <w:rsid w:val="001F4928"/>
    <w:rsid w:val="001F572A"/>
    <w:rsid w:val="001F57A8"/>
    <w:rsid w:val="001F5BBD"/>
    <w:rsid w:val="002149C4"/>
    <w:rsid w:val="00221742"/>
    <w:rsid w:val="00225D1D"/>
    <w:rsid w:val="0022625C"/>
    <w:rsid w:val="00227A95"/>
    <w:rsid w:val="00230B82"/>
    <w:rsid w:val="00230FF5"/>
    <w:rsid w:val="002372A5"/>
    <w:rsid w:val="0023748D"/>
    <w:rsid w:val="00242294"/>
    <w:rsid w:val="00243AD1"/>
    <w:rsid w:val="002440D7"/>
    <w:rsid w:val="00246034"/>
    <w:rsid w:val="00246522"/>
    <w:rsid w:val="002501F1"/>
    <w:rsid w:val="00250965"/>
    <w:rsid w:val="00251760"/>
    <w:rsid w:val="00254A07"/>
    <w:rsid w:val="00265BF2"/>
    <w:rsid w:val="002719C8"/>
    <w:rsid w:val="00271CB2"/>
    <w:rsid w:val="00272801"/>
    <w:rsid w:val="00280AE5"/>
    <w:rsid w:val="00290175"/>
    <w:rsid w:val="002943E8"/>
    <w:rsid w:val="002950E6"/>
    <w:rsid w:val="00296772"/>
    <w:rsid w:val="002A48A9"/>
    <w:rsid w:val="002A5FF4"/>
    <w:rsid w:val="002A7228"/>
    <w:rsid w:val="002B0E12"/>
    <w:rsid w:val="002B2D25"/>
    <w:rsid w:val="002B5886"/>
    <w:rsid w:val="002C1731"/>
    <w:rsid w:val="002C64A7"/>
    <w:rsid w:val="002D1296"/>
    <w:rsid w:val="002D346C"/>
    <w:rsid w:val="002E07E3"/>
    <w:rsid w:val="002F4C0B"/>
    <w:rsid w:val="002F4FAF"/>
    <w:rsid w:val="002F61D2"/>
    <w:rsid w:val="00305395"/>
    <w:rsid w:val="00306EEF"/>
    <w:rsid w:val="00316A5D"/>
    <w:rsid w:val="0031761A"/>
    <w:rsid w:val="0032119F"/>
    <w:rsid w:val="00321735"/>
    <w:rsid w:val="0032447D"/>
    <w:rsid w:val="003308CA"/>
    <w:rsid w:val="00334917"/>
    <w:rsid w:val="003424CA"/>
    <w:rsid w:val="00343DA7"/>
    <w:rsid w:val="00344050"/>
    <w:rsid w:val="0034497A"/>
    <w:rsid w:val="00352A76"/>
    <w:rsid w:val="00355C60"/>
    <w:rsid w:val="00355ECF"/>
    <w:rsid w:val="003578EE"/>
    <w:rsid w:val="00362BF9"/>
    <w:rsid w:val="00366526"/>
    <w:rsid w:val="003671DB"/>
    <w:rsid w:val="0037225D"/>
    <w:rsid w:val="00376762"/>
    <w:rsid w:val="003815A5"/>
    <w:rsid w:val="00387FAA"/>
    <w:rsid w:val="00390368"/>
    <w:rsid w:val="00396AEB"/>
    <w:rsid w:val="003A2476"/>
    <w:rsid w:val="003A4C2C"/>
    <w:rsid w:val="003A5706"/>
    <w:rsid w:val="003B13A0"/>
    <w:rsid w:val="003B1523"/>
    <w:rsid w:val="003B4D6F"/>
    <w:rsid w:val="003B5FAC"/>
    <w:rsid w:val="003D283F"/>
    <w:rsid w:val="003D647B"/>
    <w:rsid w:val="003E2E8F"/>
    <w:rsid w:val="003E3217"/>
    <w:rsid w:val="003F3F49"/>
    <w:rsid w:val="00407F97"/>
    <w:rsid w:val="00410919"/>
    <w:rsid w:val="00410D56"/>
    <w:rsid w:val="00412B5B"/>
    <w:rsid w:val="00415F62"/>
    <w:rsid w:val="0041738F"/>
    <w:rsid w:val="00421A2E"/>
    <w:rsid w:val="00422A5E"/>
    <w:rsid w:val="00423F70"/>
    <w:rsid w:val="00425CAE"/>
    <w:rsid w:val="00426F6E"/>
    <w:rsid w:val="0043175F"/>
    <w:rsid w:val="00436A5F"/>
    <w:rsid w:val="00442F2B"/>
    <w:rsid w:val="0044330E"/>
    <w:rsid w:val="00447700"/>
    <w:rsid w:val="0045471D"/>
    <w:rsid w:val="00454F77"/>
    <w:rsid w:val="004565F0"/>
    <w:rsid w:val="00456EB5"/>
    <w:rsid w:val="00457A55"/>
    <w:rsid w:val="0046254C"/>
    <w:rsid w:val="004669DF"/>
    <w:rsid w:val="00472861"/>
    <w:rsid w:val="0047380B"/>
    <w:rsid w:val="004746F1"/>
    <w:rsid w:val="00483B56"/>
    <w:rsid w:val="004876F1"/>
    <w:rsid w:val="00491ACC"/>
    <w:rsid w:val="00497813"/>
    <w:rsid w:val="004A09EA"/>
    <w:rsid w:val="004A12B2"/>
    <w:rsid w:val="004A3862"/>
    <w:rsid w:val="004A6026"/>
    <w:rsid w:val="004A6ED4"/>
    <w:rsid w:val="004B0231"/>
    <w:rsid w:val="004B14A8"/>
    <w:rsid w:val="004C2F08"/>
    <w:rsid w:val="004C44AE"/>
    <w:rsid w:val="004C604E"/>
    <w:rsid w:val="004C6D0B"/>
    <w:rsid w:val="004D325E"/>
    <w:rsid w:val="004D512B"/>
    <w:rsid w:val="004E1D8E"/>
    <w:rsid w:val="004E3900"/>
    <w:rsid w:val="004F12FA"/>
    <w:rsid w:val="004F1796"/>
    <w:rsid w:val="004F3425"/>
    <w:rsid w:val="005012BC"/>
    <w:rsid w:val="0051150E"/>
    <w:rsid w:val="005122E7"/>
    <w:rsid w:val="00512B8D"/>
    <w:rsid w:val="00514C41"/>
    <w:rsid w:val="005214DB"/>
    <w:rsid w:val="00522EE2"/>
    <w:rsid w:val="00542655"/>
    <w:rsid w:val="0054332B"/>
    <w:rsid w:val="00553E04"/>
    <w:rsid w:val="00556317"/>
    <w:rsid w:val="0056106C"/>
    <w:rsid w:val="00562193"/>
    <w:rsid w:val="00564BD0"/>
    <w:rsid w:val="00572CA4"/>
    <w:rsid w:val="0057370C"/>
    <w:rsid w:val="005820A6"/>
    <w:rsid w:val="00583C17"/>
    <w:rsid w:val="005918D7"/>
    <w:rsid w:val="00593881"/>
    <w:rsid w:val="00595D43"/>
    <w:rsid w:val="00595F07"/>
    <w:rsid w:val="005A0A09"/>
    <w:rsid w:val="005B1470"/>
    <w:rsid w:val="005B14A1"/>
    <w:rsid w:val="005B48F1"/>
    <w:rsid w:val="005B5BA7"/>
    <w:rsid w:val="005B7C93"/>
    <w:rsid w:val="005D4C66"/>
    <w:rsid w:val="005D6694"/>
    <w:rsid w:val="005E2F32"/>
    <w:rsid w:val="005F3D5C"/>
    <w:rsid w:val="005F799C"/>
    <w:rsid w:val="005F7CC3"/>
    <w:rsid w:val="00602235"/>
    <w:rsid w:val="006146C5"/>
    <w:rsid w:val="006147C4"/>
    <w:rsid w:val="00620593"/>
    <w:rsid w:val="00634622"/>
    <w:rsid w:val="00634E23"/>
    <w:rsid w:val="006428AC"/>
    <w:rsid w:val="00655BAC"/>
    <w:rsid w:val="00665D30"/>
    <w:rsid w:val="00665F85"/>
    <w:rsid w:val="006729E4"/>
    <w:rsid w:val="006735A2"/>
    <w:rsid w:val="00674129"/>
    <w:rsid w:val="006750F5"/>
    <w:rsid w:val="00686E7F"/>
    <w:rsid w:val="0068779B"/>
    <w:rsid w:val="00687905"/>
    <w:rsid w:val="00696B14"/>
    <w:rsid w:val="006B06A1"/>
    <w:rsid w:val="006B20A8"/>
    <w:rsid w:val="006B33E8"/>
    <w:rsid w:val="006B41F2"/>
    <w:rsid w:val="006B5F21"/>
    <w:rsid w:val="006C2781"/>
    <w:rsid w:val="006D2E3B"/>
    <w:rsid w:val="006D76AB"/>
    <w:rsid w:val="006E1749"/>
    <w:rsid w:val="006E1CA7"/>
    <w:rsid w:val="006E2F49"/>
    <w:rsid w:val="006E49BB"/>
    <w:rsid w:val="006E62C7"/>
    <w:rsid w:val="006E6732"/>
    <w:rsid w:val="006E6F69"/>
    <w:rsid w:val="006F26E4"/>
    <w:rsid w:val="006F2959"/>
    <w:rsid w:val="006F4CDD"/>
    <w:rsid w:val="00700770"/>
    <w:rsid w:val="00701084"/>
    <w:rsid w:val="00702B15"/>
    <w:rsid w:val="00703F9C"/>
    <w:rsid w:val="0071030F"/>
    <w:rsid w:val="00712733"/>
    <w:rsid w:val="007131F4"/>
    <w:rsid w:val="00713E43"/>
    <w:rsid w:val="00713E78"/>
    <w:rsid w:val="0071506A"/>
    <w:rsid w:val="007215A5"/>
    <w:rsid w:val="00724D5B"/>
    <w:rsid w:val="00724D6D"/>
    <w:rsid w:val="0072546B"/>
    <w:rsid w:val="0073511F"/>
    <w:rsid w:val="00743A9A"/>
    <w:rsid w:val="00754CFE"/>
    <w:rsid w:val="00757963"/>
    <w:rsid w:val="00761400"/>
    <w:rsid w:val="007629DF"/>
    <w:rsid w:val="0076520E"/>
    <w:rsid w:val="007672D1"/>
    <w:rsid w:val="00774D5B"/>
    <w:rsid w:val="007A1969"/>
    <w:rsid w:val="007A223B"/>
    <w:rsid w:val="007A3244"/>
    <w:rsid w:val="007A7714"/>
    <w:rsid w:val="007B4609"/>
    <w:rsid w:val="007C669C"/>
    <w:rsid w:val="007D17C4"/>
    <w:rsid w:val="007D29C4"/>
    <w:rsid w:val="007D29EF"/>
    <w:rsid w:val="007D68CC"/>
    <w:rsid w:val="007F21CD"/>
    <w:rsid w:val="007F291B"/>
    <w:rsid w:val="007F2E25"/>
    <w:rsid w:val="007F5648"/>
    <w:rsid w:val="007F6677"/>
    <w:rsid w:val="007F6DAD"/>
    <w:rsid w:val="008022F5"/>
    <w:rsid w:val="008069DD"/>
    <w:rsid w:val="0081129B"/>
    <w:rsid w:val="00811F4F"/>
    <w:rsid w:val="008140D1"/>
    <w:rsid w:val="0081500A"/>
    <w:rsid w:val="00821826"/>
    <w:rsid w:val="00822019"/>
    <w:rsid w:val="00827729"/>
    <w:rsid w:val="0083188C"/>
    <w:rsid w:val="00833993"/>
    <w:rsid w:val="00833FB3"/>
    <w:rsid w:val="00834509"/>
    <w:rsid w:val="00840A2E"/>
    <w:rsid w:val="008476CD"/>
    <w:rsid w:val="008525CF"/>
    <w:rsid w:val="00855534"/>
    <w:rsid w:val="008578C1"/>
    <w:rsid w:val="00864E83"/>
    <w:rsid w:val="00871896"/>
    <w:rsid w:val="0087340C"/>
    <w:rsid w:val="00881677"/>
    <w:rsid w:val="00884232"/>
    <w:rsid w:val="00886319"/>
    <w:rsid w:val="00887F74"/>
    <w:rsid w:val="00890CD0"/>
    <w:rsid w:val="00894547"/>
    <w:rsid w:val="00894ACE"/>
    <w:rsid w:val="008977B5"/>
    <w:rsid w:val="008B05D6"/>
    <w:rsid w:val="008B3EA2"/>
    <w:rsid w:val="008C24B0"/>
    <w:rsid w:val="008C5B36"/>
    <w:rsid w:val="008D26A3"/>
    <w:rsid w:val="008D39EA"/>
    <w:rsid w:val="008D6241"/>
    <w:rsid w:val="008D63C1"/>
    <w:rsid w:val="008E19EA"/>
    <w:rsid w:val="008F36D1"/>
    <w:rsid w:val="008F6748"/>
    <w:rsid w:val="008F72FD"/>
    <w:rsid w:val="0090241C"/>
    <w:rsid w:val="0090427C"/>
    <w:rsid w:val="00910BEF"/>
    <w:rsid w:val="00914AE8"/>
    <w:rsid w:val="00915DAB"/>
    <w:rsid w:val="00921700"/>
    <w:rsid w:val="0093160F"/>
    <w:rsid w:val="00931D3C"/>
    <w:rsid w:val="00933DF6"/>
    <w:rsid w:val="00940E13"/>
    <w:rsid w:val="0094169C"/>
    <w:rsid w:val="00951422"/>
    <w:rsid w:val="0095309E"/>
    <w:rsid w:val="00956E44"/>
    <w:rsid w:val="00957448"/>
    <w:rsid w:val="009619ED"/>
    <w:rsid w:val="00962EE8"/>
    <w:rsid w:val="00964ACE"/>
    <w:rsid w:val="00965B1D"/>
    <w:rsid w:val="00967DE8"/>
    <w:rsid w:val="00970DA5"/>
    <w:rsid w:val="00971FC4"/>
    <w:rsid w:val="00977231"/>
    <w:rsid w:val="00980639"/>
    <w:rsid w:val="00984EC5"/>
    <w:rsid w:val="00984F62"/>
    <w:rsid w:val="009929E8"/>
    <w:rsid w:val="00993022"/>
    <w:rsid w:val="00995AA9"/>
    <w:rsid w:val="009B2A42"/>
    <w:rsid w:val="009B4034"/>
    <w:rsid w:val="009C102E"/>
    <w:rsid w:val="009C3912"/>
    <w:rsid w:val="009C77B3"/>
    <w:rsid w:val="009E092B"/>
    <w:rsid w:val="009E186E"/>
    <w:rsid w:val="009E5360"/>
    <w:rsid w:val="009E6009"/>
    <w:rsid w:val="009E63C4"/>
    <w:rsid w:val="009E6CEA"/>
    <w:rsid w:val="009F2332"/>
    <w:rsid w:val="009F2D05"/>
    <w:rsid w:val="009F2FC8"/>
    <w:rsid w:val="00A007A1"/>
    <w:rsid w:val="00A10898"/>
    <w:rsid w:val="00A1110F"/>
    <w:rsid w:val="00A11FB1"/>
    <w:rsid w:val="00A12F9C"/>
    <w:rsid w:val="00A3244B"/>
    <w:rsid w:val="00A34590"/>
    <w:rsid w:val="00A34958"/>
    <w:rsid w:val="00A4242F"/>
    <w:rsid w:val="00A42709"/>
    <w:rsid w:val="00A43ADB"/>
    <w:rsid w:val="00A51909"/>
    <w:rsid w:val="00A53B2C"/>
    <w:rsid w:val="00A5474B"/>
    <w:rsid w:val="00A57D0A"/>
    <w:rsid w:val="00A62088"/>
    <w:rsid w:val="00A65E22"/>
    <w:rsid w:val="00A67C3A"/>
    <w:rsid w:val="00A70C47"/>
    <w:rsid w:val="00A764F8"/>
    <w:rsid w:val="00A77422"/>
    <w:rsid w:val="00A81C74"/>
    <w:rsid w:val="00A85720"/>
    <w:rsid w:val="00A91E0C"/>
    <w:rsid w:val="00A9385A"/>
    <w:rsid w:val="00A941DA"/>
    <w:rsid w:val="00AA1912"/>
    <w:rsid w:val="00AA1A39"/>
    <w:rsid w:val="00AA1A64"/>
    <w:rsid w:val="00AB2B45"/>
    <w:rsid w:val="00AC0396"/>
    <w:rsid w:val="00AC6D8B"/>
    <w:rsid w:val="00AD5574"/>
    <w:rsid w:val="00AE2F7C"/>
    <w:rsid w:val="00AE4BB3"/>
    <w:rsid w:val="00AF1A73"/>
    <w:rsid w:val="00B022F2"/>
    <w:rsid w:val="00B120A0"/>
    <w:rsid w:val="00B158EC"/>
    <w:rsid w:val="00B15F4C"/>
    <w:rsid w:val="00B25BF3"/>
    <w:rsid w:val="00B26D50"/>
    <w:rsid w:val="00B3095D"/>
    <w:rsid w:val="00B30FA4"/>
    <w:rsid w:val="00B31312"/>
    <w:rsid w:val="00B31B5C"/>
    <w:rsid w:val="00B33697"/>
    <w:rsid w:val="00B35883"/>
    <w:rsid w:val="00B358AE"/>
    <w:rsid w:val="00B401FF"/>
    <w:rsid w:val="00B4425D"/>
    <w:rsid w:val="00B46BFC"/>
    <w:rsid w:val="00B50716"/>
    <w:rsid w:val="00B50A4B"/>
    <w:rsid w:val="00B52915"/>
    <w:rsid w:val="00B52CB6"/>
    <w:rsid w:val="00B555E0"/>
    <w:rsid w:val="00B561B7"/>
    <w:rsid w:val="00B57855"/>
    <w:rsid w:val="00B61042"/>
    <w:rsid w:val="00B6159A"/>
    <w:rsid w:val="00B67A73"/>
    <w:rsid w:val="00B74FA8"/>
    <w:rsid w:val="00B82EA2"/>
    <w:rsid w:val="00B84F31"/>
    <w:rsid w:val="00B97069"/>
    <w:rsid w:val="00BB2A66"/>
    <w:rsid w:val="00BB2ED7"/>
    <w:rsid w:val="00BB6E72"/>
    <w:rsid w:val="00BC1A25"/>
    <w:rsid w:val="00BC3398"/>
    <w:rsid w:val="00BC71F0"/>
    <w:rsid w:val="00BD2C34"/>
    <w:rsid w:val="00BF64C5"/>
    <w:rsid w:val="00BF7164"/>
    <w:rsid w:val="00C06D8B"/>
    <w:rsid w:val="00C10FEF"/>
    <w:rsid w:val="00C14533"/>
    <w:rsid w:val="00C14EFC"/>
    <w:rsid w:val="00C172D8"/>
    <w:rsid w:val="00C333CA"/>
    <w:rsid w:val="00C43560"/>
    <w:rsid w:val="00C45A21"/>
    <w:rsid w:val="00C469A1"/>
    <w:rsid w:val="00C514FB"/>
    <w:rsid w:val="00C606FC"/>
    <w:rsid w:val="00C62297"/>
    <w:rsid w:val="00C62AC0"/>
    <w:rsid w:val="00C64B16"/>
    <w:rsid w:val="00C72A26"/>
    <w:rsid w:val="00C73CDA"/>
    <w:rsid w:val="00C779CC"/>
    <w:rsid w:val="00C809BE"/>
    <w:rsid w:val="00C81FB7"/>
    <w:rsid w:val="00C82EFB"/>
    <w:rsid w:val="00C87E58"/>
    <w:rsid w:val="00C938C3"/>
    <w:rsid w:val="00CA2CF1"/>
    <w:rsid w:val="00CA34BB"/>
    <w:rsid w:val="00CB71D1"/>
    <w:rsid w:val="00CC1980"/>
    <w:rsid w:val="00CD1B6E"/>
    <w:rsid w:val="00CD2354"/>
    <w:rsid w:val="00CD740A"/>
    <w:rsid w:val="00CF5242"/>
    <w:rsid w:val="00CF5B8A"/>
    <w:rsid w:val="00CF618D"/>
    <w:rsid w:val="00CF759B"/>
    <w:rsid w:val="00D014B9"/>
    <w:rsid w:val="00D02D70"/>
    <w:rsid w:val="00D072CA"/>
    <w:rsid w:val="00D1348E"/>
    <w:rsid w:val="00D2095F"/>
    <w:rsid w:val="00D221B8"/>
    <w:rsid w:val="00D2438D"/>
    <w:rsid w:val="00D2723E"/>
    <w:rsid w:val="00D27709"/>
    <w:rsid w:val="00D40B6C"/>
    <w:rsid w:val="00D42930"/>
    <w:rsid w:val="00D42B3D"/>
    <w:rsid w:val="00D47A2D"/>
    <w:rsid w:val="00D51D73"/>
    <w:rsid w:val="00D52975"/>
    <w:rsid w:val="00D6348A"/>
    <w:rsid w:val="00D72FD1"/>
    <w:rsid w:val="00D75275"/>
    <w:rsid w:val="00D81FDB"/>
    <w:rsid w:val="00D918DC"/>
    <w:rsid w:val="00D91A6A"/>
    <w:rsid w:val="00D93586"/>
    <w:rsid w:val="00D95F72"/>
    <w:rsid w:val="00D9719F"/>
    <w:rsid w:val="00DA3C8F"/>
    <w:rsid w:val="00DA7EA1"/>
    <w:rsid w:val="00DB4A03"/>
    <w:rsid w:val="00DB7F72"/>
    <w:rsid w:val="00DC0486"/>
    <w:rsid w:val="00DC2860"/>
    <w:rsid w:val="00DC6A1A"/>
    <w:rsid w:val="00DC789A"/>
    <w:rsid w:val="00DD5EDB"/>
    <w:rsid w:val="00DE6F00"/>
    <w:rsid w:val="00DF0D06"/>
    <w:rsid w:val="00DF5D00"/>
    <w:rsid w:val="00E02EB8"/>
    <w:rsid w:val="00E14F65"/>
    <w:rsid w:val="00E211AE"/>
    <w:rsid w:val="00E26759"/>
    <w:rsid w:val="00E30F42"/>
    <w:rsid w:val="00E32E96"/>
    <w:rsid w:val="00E335C5"/>
    <w:rsid w:val="00E34286"/>
    <w:rsid w:val="00E35475"/>
    <w:rsid w:val="00E52824"/>
    <w:rsid w:val="00E561CF"/>
    <w:rsid w:val="00E5717E"/>
    <w:rsid w:val="00E60A60"/>
    <w:rsid w:val="00E628A3"/>
    <w:rsid w:val="00E652DA"/>
    <w:rsid w:val="00E663E9"/>
    <w:rsid w:val="00E71D1A"/>
    <w:rsid w:val="00E75E96"/>
    <w:rsid w:val="00E76E7A"/>
    <w:rsid w:val="00E80932"/>
    <w:rsid w:val="00E81F50"/>
    <w:rsid w:val="00E84576"/>
    <w:rsid w:val="00EA013A"/>
    <w:rsid w:val="00EB2CF1"/>
    <w:rsid w:val="00EB7F69"/>
    <w:rsid w:val="00EC3592"/>
    <w:rsid w:val="00EC43B3"/>
    <w:rsid w:val="00EC4721"/>
    <w:rsid w:val="00ED24C5"/>
    <w:rsid w:val="00EE05FB"/>
    <w:rsid w:val="00EE18B3"/>
    <w:rsid w:val="00EE5055"/>
    <w:rsid w:val="00EF1188"/>
    <w:rsid w:val="00EF5631"/>
    <w:rsid w:val="00EF6E48"/>
    <w:rsid w:val="00F03A15"/>
    <w:rsid w:val="00F07AE1"/>
    <w:rsid w:val="00F101B0"/>
    <w:rsid w:val="00F12D6E"/>
    <w:rsid w:val="00F14BD6"/>
    <w:rsid w:val="00F339F4"/>
    <w:rsid w:val="00F33BF3"/>
    <w:rsid w:val="00F5030E"/>
    <w:rsid w:val="00F54F1B"/>
    <w:rsid w:val="00F56089"/>
    <w:rsid w:val="00F60956"/>
    <w:rsid w:val="00F62476"/>
    <w:rsid w:val="00F62D32"/>
    <w:rsid w:val="00F65E0E"/>
    <w:rsid w:val="00F66496"/>
    <w:rsid w:val="00F67C4D"/>
    <w:rsid w:val="00F8013A"/>
    <w:rsid w:val="00F84BC2"/>
    <w:rsid w:val="00F9037B"/>
    <w:rsid w:val="00F903CA"/>
    <w:rsid w:val="00F90E57"/>
    <w:rsid w:val="00F9332A"/>
    <w:rsid w:val="00F9541F"/>
    <w:rsid w:val="00F96D81"/>
    <w:rsid w:val="00F97F7A"/>
    <w:rsid w:val="00FA5152"/>
    <w:rsid w:val="00FB0CB8"/>
    <w:rsid w:val="00FB3596"/>
    <w:rsid w:val="00FB4528"/>
    <w:rsid w:val="00FB4DF0"/>
    <w:rsid w:val="00FC0E9C"/>
    <w:rsid w:val="00FC1ABB"/>
    <w:rsid w:val="00FD36B9"/>
    <w:rsid w:val="00FD62C6"/>
    <w:rsid w:val="00FD7217"/>
    <w:rsid w:val="00FD79AF"/>
    <w:rsid w:val="00FE79E9"/>
    <w:rsid w:val="00FF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3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5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Знак Знак Знак Char Char Char Char"/>
    <w:basedOn w:val="Normal"/>
    <w:rsid w:val="004876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876F1"/>
    <w:pPr>
      <w:spacing w:before="100" w:beforeAutospacing="1" w:after="100" w:afterAutospacing="1"/>
    </w:pPr>
  </w:style>
  <w:style w:type="character" w:customStyle="1" w:styleId="answeralt">
    <w:name w:val="answeralt"/>
    <w:rsid w:val="003A5706"/>
    <w:rPr>
      <w:rFonts w:ascii="Arial" w:hAnsi="Arial"/>
      <w:noProof w:val="0"/>
      <w:sz w:val="20"/>
      <w:lang w:val="en-GB"/>
    </w:rPr>
  </w:style>
  <w:style w:type="table" w:styleId="TableGrid">
    <w:name w:val="Table Grid"/>
    <w:basedOn w:val="TableNormal"/>
    <w:rsid w:val="003A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3A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3A15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3B13A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pelle">
    <w:name w:val="spelle"/>
    <w:basedOn w:val="DefaultParagraphFont"/>
    <w:rsid w:val="00425CAE"/>
  </w:style>
  <w:style w:type="paragraph" w:customStyle="1" w:styleId="a">
    <w:basedOn w:val="Normal"/>
    <w:rsid w:val="006E2F4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E2F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74764"/>
    <w:rPr>
      <w:sz w:val="20"/>
      <w:szCs w:val="20"/>
    </w:rPr>
  </w:style>
  <w:style w:type="character" w:styleId="FootnoteReference">
    <w:name w:val="footnote reference"/>
    <w:semiHidden/>
    <w:rsid w:val="00074764"/>
    <w:rPr>
      <w:vertAlign w:val="superscript"/>
    </w:rPr>
  </w:style>
  <w:style w:type="character" w:styleId="Hyperlink">
    <w:name w:val="Hyperlink"/>
    <w:rsid w:val="00A34590"/>
    <w:rPr>
      <w:color w:val="0000FF"/>
      <w:u w:val="single"/>
    </w:rPr>
  </w:style>
  <w:style w:type="paragraph" w:customStyle="1" w:styleId="CharCharChar">
    <w:name w:val="Char Char Char Знак Знак"/>
    <w:basedOn w:val="Normal"/>
    <w:rsid w:val="00A345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A11FB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E5717E"/>
  </w:style>
  <w:style w:type="character" w:styleId="CommentReference">
    <w:name w:val="annotation reference"/>
    <w:rsid w:val="00137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D95"/>
  </w:style>
  <w:style w:type="paragraph" w:styleId="CommentSubject">
    <w:name w:val="annotation subject"/>
    <w:basedOn w:val="CommentText"/>
    <w:next w:val="CommentText"/>
    <w:link w:val="CommentSubjectChar"/>
    <w:rsid w:val="00137D95"/>
    <w:rPr>
      <w:b/>
      <w:bCs/>
    </w:rPr>
  </w:style>
  <w:style w:type="character" w:customStyle="1" w:styleId="CommentSubjectChar">
    <w:name w:val="Comment Subject Char"/>
    <w:link w:val="CommentSubject"/>
    <w:rsid w:val="00137D95"/>
    <w:rPr>
      <w:b/>
      <w:bCs/>
    </w:rPr>
  </w:style>
  <w:style w:type="character" w:customStyle="1" w:styleId="Heading1Char">
    <w:name w:val="Heading 1 Char"/>
    <w:link w:val="Heading1"/>
    <w:rsid w:val="000B5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07AE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3A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B5C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">
    <w:name w:val="Знак Знак Знак Знак Знак Char Char Char Char"/>
    <w:basedOn w:val="Normal"/>
    <w:rsid w:val="004876F1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4876F1"/>
    <w:pPr>
      <w:spacing w:before="100" w:beforeAutospacing="1" w:after="100" w:afterAutospacing="1"/>
    </w:pPr>
  </w:style>
  <w:style w:type="character" w:customStyle="1" w:styleId="answeralt">
    <w:name w:val="answeralt"/>
    <w:rsid w:val="003A5706"/>
    <w:rPr>
      <w:rFonts w:ascii="Arial" w:hAnsi="Arial"/>
      <w:noProof w:val="0"/>
      <w:sz w:val="20"/>
      <w:lang w:val="en-GB"/>
    </w:rPr>
  </w:style>
  <w:style w:type="table" w:styleId="TableGrid">
    <w:name w:val="Table Grid"/>
    <w:basedOn w:val="TableNormal"/>
    <w:rsid w:val="003A5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3A1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03A15"/>
    <w:pPr>
      <w:tabs>
        <w:tab w:val="center" w:pos="4536"/>
        <w:tab w:val="right" w:pos="9072"/>
      </w:tabs>
    </w:pPr>
  </w:style>
  <w:style w:type="paragraph" w:customStyle="1" w:styleId="Char">
    <w:name w:val="Char"/>
    <w:basedOn w:val="Normal"/>
    <w:rsid w:val="003B13A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spelle">
    <w:name w:val="spelle"/>
    <w:basedOn w:val="DefaultParagraphFont"/>
    <w:rsid w:val="00425CAE"/>
  </w:style>
  <w:style w:type="paragraph" w:customStyle="1" w:styleId="a">
    <w:basedOn w:val="Normal"/>
    <w:rsid w:val="006E2F49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BalloonText">
    <w:name w:val="Balloon Text"/>
    <w:basedOn w:val="Normal"/>
    <w:semiHidden/>
    <w:rsid w:val="006E2F4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074764"/>
    <w:rPr>
      <w:sz w:val="20"/>
      <w:szCs w:val="20"/>
    </w:rPr>
  </w:style>
  <w:style w:type="character" w:styleId="FootnoteReference">
    <w:name w:val="footnote reference"/>
    <w:semiHidden/>
    <w:rsid w:val="00074764"/>
    <w:rPr>
      <w:vertAlign w:val="superscript"/>
    </w:rPr>
  </w:style>
  <w:style w:type="character" w:styleId="Hyperlink">
    <w:name w:val="Hyperlink"/>
    <w:rsid w:val="00A34590"/>
    <w:rPr>
      <w:color w:val="0000FF"/>
      <w:u w:val="single"/>
    </w:rPr>
  </w:style>
  <w:style w:type="paragraph" w:customStyle="1" w:styleId="CharCharChar">
    <w:name w:val="Char Char Char Знак Знак"/>
    <w:basedOn w:val="Normal"/>
    <w:rsid w:val="00A345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0">
    <w:name w:val="Знак"/>
    <w:basedOn w:val="Normal"/>
    <w:rsid w:val="00A11FB1"/>
    <w:pPr>
      <w:tabs>
        <w:tab w:val="left" w:pos="709"/>
      </w:tabs>
    </w:pPr>
    <w:rPr>
      <w:rFonts w:ascii="Tahoma" w:hAnsi="Tahoma"/>
      <w:lang w:val="pl-PL" w:eastAsia="pl-PL"/>
    </w:rPr>
  </w:style>
  <w:style w:type="character" w:styleId="PageNumber">
    <w:name w:val="page number"/>
    <w:basedOn w:val="DefaultParagraphFont"/>
    <w:rsid w:val="00E5717E"/>
  </w:style>
  <w:style w:type="character" w:styleId="CommentReference">
    <w:name w:val="annotation reference"/>
    <w:rsid w:val="00137D95"/>
    <w:rPr>
      <w:sz w:val="16"/>
      <w:szCs w:val="16"/>
    </w:rPr>
  </w:style>
  <w:style w:type="paragraph" w:styleId="CommentText">
    <w:name w:val="annotation text"/>
    <w:basedOn w:val="Normal"/>
    <w:link w:val="CommentTextChar"/>
    <w:rsid w:val="00137D9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37D95"/>
  </w:style>
  <w:style w:type="paragraph" w:styleId="CommentSubject">
    <w:name w:val="annotation subject"/>
    <w:basedOn w:val="CommentText"/>
    <w:next w:val="CommentText"/>
    <w:link w:val="CommentSubjectChar"/>
    <w:rsid w:val="00137D95"/>
    <w:rPr>
      <w:b/>
      <w:bCs/>
    </w:rPr>
  </w:style>
  <w:style w:type="character" w:customStyle="1" w:styleId="CommentSubjectChar">
    <w:name w:val="Comment Subject Char"/>
    <w:link w:val="CommentSubject"/>
    <w:rsid w:val="00137D95"/>
    <w:rPr>
      <w:b/>
      <w:bCs/>
    </w:rPr>
  </w:style>
  <w:style w:type="character" w:customStyle="1" w:styleId="Heading1Char">
    <w:name w:val="Heading 1 Char"/>
    <w:link w:val="Heading1"/>
    <w:rsid w:val="000B5CB6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Revision">
    <w:name w:val="Revision"/>
    <w:hidden/>
    <w:uiPriority w:val="99"/>
    <w:semiHidden/>
    <w:rsid w:val="00F07A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1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5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9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35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7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7F2284-9210-4169-B6E3-34B363945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 ЗА ДЪРЖАВНИ ПОМОЩИ</vt:lpstr>
      <vt:lpstr>ДЕКЛАРАЦИЯ ЗА ДЪРЖАВНИ ПОМОЩИ</vt:lpstr>
    </vt:vector>
  </TitlesOfParts>
  <Company/>
  <LinksUpToDate>false</LinksUpToDate>
  <CharactersWithSpaces>5073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Kiril Vasilev</cp:lastModifiedBy>
  <cp:revision>4</cp:revision>
  <cp:lastPrinted>2016-10-03T14:05:00Z</cp:lastPrinted>
  <dcterms:created xsi:type="dcterms:W3CDTF">2016-10-04T15:18:00Z</dcterms:created>
  <dcterms:modified xsi:type="dcterms:W3CDTF">2016-10-04T15:28:00Z</dcterms:modified>
</cp:coreProperties>
</file>