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441" w:rsidRDefault="00632441" w:rsidP="00AD407E">
      <w:pPr>
        <w:spacing w:after="0" w:line="360" w:lineRule="auto"/>
        <w:jc w:val="center"/>
        <w:rPr>
          <w:rFonts w:ascii="Verdana" w:hAnsi="Verdana"/>
          <w:b/>
        </w:rPr>
      </w:pPr>
    </w:p>
    <w:p w:rsidR="008621D3" w:rsidRPr="008621D3" w:rsidRDefault="008621D3" w:rsidP="00AD407E">
      <w:pPr>
        <w:spacing w:after="0" w:line="360" w:lineRule="auto"/>
        <w:jc w:val="center"/>
        <w:rPr>
          <w:rFonts w:ascii="Verdana" w:hAnsi="Verdana"/>
          <w:b/>
        </w:rPr>
      </w:pPr>
      <w:r w:rsidRPr="008621D3">
        <w:rPr>
          <w:rFonts w:ascii="Verdana" w:hAnsi="Verdana"/>
          <w:b/>
        </w:rPr>
        <w:t>ДОКУМЕНТАЦИЯ</w:t>
      </w:r>
    </w:p>
    <w:p w:rsidR="008621D3" w:rsidRDefault="008621D3" w:rsidP="00AD407E">
      <w:pPr>
        <w:spacing w:after="0" w:line="360" w:lineRule="auto"/>
        <w:jc w:val="center"/>
        <w:rPr>
          <w:rFonts w:ascii="Verdana" w:hAnsi="Verdana"/>
          <w:b/>
        </w:rPr>
      </w:pPr>
      <w:r w:rsidRPr="008621D3">
        <w:rPr>
          <w:rFonts w:ascii="Verdana" w:hAnsi="Verdana"/>
          <w:b/>
        </w:rPr>
        <w:t>за възлагане на обществена поръчка по реда на глава двадесет и шеста от Закона за обществените поръчки (ЗОП), с предмет:</w:t>
      </w:r>
      <w:r w:rsidR="00417591">
        <w:rPr>
          <w:rFonts w:ascii="Verdana" w:hAnsi="Verdana"/>
          <w:b/>
        </w:rPr>
        <w:tab/>
      </w:r>
    </w:p>
    <w:p w:rsidR="002E07CA" w:rsidRDefault="002E07CA" w:rsidP="00AD407E">
      <w:pPr>
        <w:spacing w:after="0" w:line="360" w:lineRule="auto"/>
        <w:jc w:val="center"/>
        <w:rPr>
          <w:rFonts w:ascii="Verdana" w:hAnsi="Verdana"/>
          <w:b/>
        </w:rPr>
      </w:pPr>
      <w:r w:rsidRPr="002E07CA">
        <w:rPr>
          <w:rFonts w:ascii="Verdana" w:hAnsi="Verdana"/>
          <w:b/>
        </w:rPr>
        <w:t xml:space="preserve">„Извършване на </w:t>
      </w:r>
      <w:proofErr w:type="spellStart"/>
      <w:r w:rsidRPr="002E07CA">
        <w:rPr>
          <w:rFonts w:ascii="Verdana" w:hAnsi="Verdana"/>
          <w:b/>
        </w:rPr>
        <w:t>маркшайдерски</w:t>
      </w:r>
      <w:proofErr w:type="spellEnd"/>
      <w:r w:rsidRPr="002E07CA">
        <w:rPr>
          <w:rFonts w:ascii="Verdana" w:hAnsi="Verdana"/>
          <w:b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</w:p>
    <w:p w:rsidR="00D14A29" w:rsidRDefault="00D14A29" w:rsidP="00AD407E">
      <w:pPr>
        <w:spacing w:after="0" w:line="360" w:lineRule="auto"/>
        <w:jc w:val="center"/>
        <w:rPr>
          <w:rFonts w:ascii="Verdana" w:hAnsi="Verdana"/>
          <w:b/>
        </w:rPr>
      </w:pPr>
    </w:p>
    <w:p w:rsidR="00967A65" w:rsidRDefault="00967A65" w:rsidP="00AD407E">
      <w:pPr>
        <w:spacing w:after="0" w:line="360" w:lineRule="auto"/>
        <w:jc w:val="center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center"/>
        <w:rPr>
          <w:rFonts w:ascii="Verdana" w:hAnsi="Verdana"/>
          <w:b/>
        </w:rPr>
      </w:pPr>
      <w:r w:rsidRPr="008621D3">
        <w:rPr>
          <w:rFonts w:ascii="Verdana" w:hAnsi="Verdana"/>
          <w:b/>
        </w:rPr>
        <w:t>І. ВЪЗЛОЖИТЕЛ. ОБЕКТ И ПРЕДМЕТ НА ПОРЪЧКАТА.</w:t>
      </w:r>
    </w:p>
    <w:p w:rsidR="00283F48" w:rsidRPr="008621D3" w:rsidRDefault="00283F48" w:rsidP="00AD407E">
      <w:pPr>
        <w:spacing w:after="0" w:line="360" w:lineRule="auto"/>
        <w:jc w:val="center"/>
        <w:rPr>
          <w:rFonts w:ascii="Verdana" w:hAnsi="Verdana"/>
          <w:b/>
        </w:rPr>
      </w:pPr>
    </w:p>
    <w:p w:rsidR="002E07CA" w:rsidRDefault="00AD78CB" w:rsidP="00AD407E">
      <w:pPr>
        <w:spacing w:after="0" w:line="360" w:lineRule="auto"/>
        <w:jc w:val="both"/>
        <w:rPr>
          <w:rFonts w:ascii="Verdana" w:hAnsi="Verdana"/>
        </w:rPr>
      </w:pPr>
      <w:r w:rsidRPr="00AD78CB">
        <w:rPr>
          <w:rFonts w:ascii="Verdana" w:hAnsi="Verdana"/>
        </w:rPr>
        <w:t>Министерството на енергетиката, с адрес гр. София, ул. „Триадица” № 8, отправя покана към всички заинтересовани лица за участие в обществена поръчка по реда</w:t>
      </w:r>
      <w:r w:rsidR="002F7D48">
        <w:rPr>
          <w:rFonts w:ascii="Verdana" w:hAnsi="Verdana"/>
          <w:lang w:val="en-US"/>
        </w:rPr>
        <w:t xml:space="preserve"> </w:t>
      </w:r>
      <w:r w:rsidR="002F7D48">
        <w:rPr>
          <w:rFonts w:ascii="Verdana" w:hAnsi="Verdana"/>
        </w:rPr>
        <w:t>на глава</w:t>
      </w:r>
      <w:r w:rsidRPr="00AD78CB">
        <w:rPr>
          <w:rFonts w:ascii="Verdana" w:hAnsi="Verdana"/>
        </w:rPr>
        <w:t xml:space="preserve"> </w:t>
      </w:r>
      <w:r w:rsidR="002F7D48" w:rsidRPr="002F7D48">
        <w:rPr>
          <w:rFonts w:ascii="Verdana" w:hAnsi="Verdana"/>
        </w:rPr>
        <w:t>двадесет и шеста от Закона за обществените поръчки (ЗОП)</w:t>
      </w:r>
      <w:r w:rsidRPr="00AD78CB">
        <w:rPr>
          <w:rFonts w:ascii="Verdana" w:hAnsi="Verdana"/>
        </w:rPr>
        <w:t xml:space="preserve">за избор на изпълнител за обществена поръчка с предмет </w:t>
      </w:r>
      <w:r w:rsidR="002E07CA" w:rsidRPr="002E07CA">
        <w:rPr>
          <w:rFonts w:ascii="Verdana" w:hAnsi="Verdana"/>
        </w:rPr>
        <w:t xml:space="preserve">„Извършване на </w:t>
      </w:r>
      <w:proofErr w:type="spellStart"/>
      <w:r w:rsidR="002E07CA" w:rsidRPr="002E07CA">
        <w:rPr>
          <w:rFonts w:ascii="Verdana" w:hAnsi="Verdana"/>
        </w:rPr>
        <w:t>маркшайдерски</w:t>
      </w:r>
      <w:proofErr w:type="spellEnd"/>
      <w:r w:rsidR="002E07CA" w:rsidRPr="002E07CA">
        <w:rPr>
          <w:rFonts w:ascii="Verdana" w:hAnsi="Verdana"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</w:p>
    <w:p w:rsidR="00897772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621D3">
        <w:rPr>
          <w:rFonts w:ascii="Verdana" w:hAnsi="Verdana"/>
          <w:b/>
        </w:rPr>
        <w:t>Интернет адрес:</w:t>
      </w:r>
      <w:r w:rsidRPr="008621D3">
        <w:rPr>
          <w:rFonts w:ascii="Verdana" w:hAnsi="Verdana"/>
        </w:rPr>
        <w:t xml:space="preserve"> </w:t>
      </w:r>
      <w:hyperlink r:id="rId9" w:history="1">
        <w:r w:rsidR="00897772" w:rsidRPr="00931959">
          <w:rPr>
            <w:rStyle w:val="Hyperlink"/>
            <w:rFonts w:ascii="Verdana" w:hAnsi="Verdana"/>
          </w:rPr>
          <w:t>www.mе.government.bg</w:t>
        </w:r>
      </w:hyperlink>
    </w:p>
    <w:p w:rsidR="00271C73" w:rsidRPr="00392092" w:rsidRDefault="00392092" w:rsidP="00AD407E">
      <w:pPr>
        <w:spacing w:after="0" w:line="360" w:lineRule="auto"/>
        <w:rPr>
          <w:rFonts w:ascii="Verdana" w:hAnsi="Verdana"/>
          <w:lang w:val="en-US"/>
        </w:rPr>
      </w:pPr>
      <w:r>
        <w:rPr>
          <w:rFonts w:ascii="Verdana" w:hAnsi="Verdana"/>
          <w:b/>
        </w:rPr>
        <w:t xml:space="preserve">Профил на купувача:   </w:t>
      </w:r>
      <w:hyperlink r:id="rId10" w:history="1">
        <w:r w:rsidR="007E2C1C" w:rsidRPr="007E2C1C">
          <w:rPr>
            <w:rStyle w:val="Hyperlink"/>
            <w:rFonts w:ascii="Verdana" w:hAnsi="Verdana"/>
          </w:rPr>
          <w:t>https://www.me.government.bg/bg/competitions/izvarshvane-na-markshaiderski-izmervaniya-za-opredelyane-na-fakticheskoto-polojenie-na-minnite-izrabotki-1259-c363-1.html?p=e30</w:t>
        </w:r>
      </w:hyperlink>
      <w:r w:rsidR="007E2C1C" w:rsidRPr="007E2C1C">
        <w:rPr>
          <w:rFonts w:ascii="Verdana" w:hAnsi="Verdana"/>
        </w:rPr>
        <w:t>=</w:t>
      </w:r>
    </w:p>
    <w:p w:rsidR="008621D3" w:rsidRPr="008621D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621D3">
        <w:rPr>
          <w:rFonts w:ascii="Verdana" w:hAnsi="Verdana"/>
        </w:rPr>
        <w:t xml:space="preserve">Обект на </w:t>
      </w:r>
      <w:r w:rsidR="00897772" w:rsidRPr="008621D3">
        <w:rPr>
          <w:rFonts w:ascii="Verdana" w:hAnsi="Verdana"/>
        </w:rPr>
        <w:t>обществената</w:t>
      </w:r>
      <w:r w:rsidRPr="008621D3">
        <w:rPr>
          <w:rFonts w:ascii="Verdana" w:hAnsi="Verdana"/>
        </w:rPr>
        <w:t xml:space="preserve"> поръчка е услуга с код по </w:t>
      </w:r>
      <w:r w:rsidRPr="007B236B">
        <w:rPr>
          <w:rFonts w:ascii="Verdana" w:hAnsi="Verdana"/>
        </w:rPr>
        <w:t xml:space="preserve">CPV: </w:t>
      </w:r>
      <w:r w:rsidR="00A765E8" w:rsidRPr="007B236B">
        <w:rPr>
          <w:rFonts w:ascii="Verdana" w:hAnsi="Verdana"/>
        </w:rPr>
        <w:t>71</w:t>
      </w:r>
      <w:r w:rsidR="00A50AB3" w:rsidRPr="007B236B">
        <w:rPr>
          <w:rFonts w:ascii="Verdana" w:hAnsi="Verdana"/>
        </w:rPr>
        <w:t>332000</w:t>
      </w:r>
      <w:r w:rsidRPr="007B236B">
        <w:rPr>
          <w:rFonts w:ascii="Verdana" w:hAnsi="Verdana"/>
        </w:rPr>
        <w:t xml:space="preserve"> –</w:t>
      </w:r>
      <w:r w:rsidRPr="00271C73">
        <w:rPr>
          <w:rFonts w:ascii="Verdana" w:hAnsi="Verdana"/>
        </w:rPr>
        <w:t xml:space="preserve"> </w:t>
      </w:r>
      <w:proofErr w:type="spellStart"/>
      <w:r w:rsidR="00A50AB3">
        <w:rPr>
          <w:rFonts w:ascii="Verdana" w:hAnsi="Verdana"/>
        </w:rPr>
        <w:t>геоинженерни</w:t>
      </w:r>
      <w:proofErr w:type="spellEnd"/>
      <w:r w:rsidR="00A50AB3">
        <w:rPr>
          <w:rFonts w:ascii="Verdana" w:hAnsi="Verdana"/>
        </w:rPr>
        <w:t xml:space="preserve"> услуги.</w:t>
      </w:r>
    </w:p>
    <w:p w:rsidR="00C92C02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8621D3">
        <w:rPr>
          <w:rFonts w:ascii="Verdana" w:hAnsi="Verdana"/>
        </w:rPr>
        <w:t>П</w:t>
      </w:r>
      <w:r w:rsidR="00897772">
        <w:rPr>
          <w:rFonts w:ascii="Verdana" w:hAnsi="Verdana"/>
        </w:rPr>
        <w:t xml:space="preserve">редмет на обществената поръчка: </w:t>
      </w:r>
      <w:r w:rsidR="00C92C02" w:rsidRPr="00C92C02">
        <w:rPr>
          <w:rFonts w:ascii="Verdana" w:hAnsi="Verdana"/>
          <w:b/>
        </w:rPr>
        <w:t xml:space="preserve">„Извършване на </w:t>
      </w:r>
      <w:proofErr w:type="spellStart"/>
      <w:r w:rsidR="00C92C02" w:rsidRPr="00C92C02">
        <w:rPr>
          <w:rFonts w:ascii="Verdana" w:hAnsi="Verdana"/>
          <w:b/>
        </w:rPr>
        <w:t>маркшайдерски</w:t>
      </w:r>
      <w:proofErr w:type="spellEnd"/>
      <w:r w:rsidR="00C92C02" w:rsidRPr="00C92C02">
        <w:rPr>
          <w:rFonts w:ascii="Verdana" w:hAnsi="Verdana"/>
          <w:b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</w:t>
      </w:r>
      <w:r w:rsidR="00C92C02" w:rsidRPr="00C92C02">
        <w:rPr>
          <w:rFonts w:ascii="Verdana" w:hAnsi="Verdana"/>
          <w:b/>
        </w:rPr>
        <w:lastRenderedPageBreak/>
        <w:t>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  <w:r w:rsidR="00A50AB3">
        <w:rPr>
          <w:rFonts w:ascii="Verdana" w:hAnsi="Verdana"/>
          <w:b/>
        </w:rPr>
        <w:t>.</w:t>
      </w:r>
    </w:p>
    <w:p w:rsidR="00632441" w:rsidRDefault="00632441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8621D3">
        <w:rPr>
          <w:rFonts w:ascii="Verdana" w:hAnsi="Verdana"/>
          <w:b/>
        </w:rPr>
        <w:t xml:space="preserve">ІІ. МОТИВИ </w:t>
      </w:r>
      <w:r w:rsidR="00F300FE">
        <w:rPr>
          <w:rFonts w:ascii="Verdana" w:hAnsi="Verdana"/>
          <w:b/>
        </w:rPr>
        <w:t>ЗА</w:t>
      </w:r>
      <w:r w:rsidRPr="008621D3">
        <w:rPr>
          <w:rFonts w:ascii="Verdana" w:hAnsi="Verdana"/>
          <w:b/>
        </w:rPr>
        <w:t xml:space="preserve"> </w:t>
      </w:r>
      <w:r w:rsidR="00F300FE">
        <w:rPr>
          <w:rFonts w:ascii="Verdana" w:hAnsi="Verdana"/>
          <w:b/>
        </w:rPr>
        <w:t xml:space="preserve">РЕДА НА </w:t>
      </w:r>
      <w:r w:rsidRPr="008621D3">
        <w:rPr>
          <w:rFonts w:ascii="Verdana" w:hAnsi="Verdana"/>
          <w:b/>
        </w:rPr>
        <w:t>ВЪЗЛАГАНЕ</w:t>
      </w:r>
      <w:r w:rsidR="00F300FE">
        <w:rPr>
          <w:rFonts w:ascii="Verdana" w:hAnsi="Verdana"/>
          <w:b/>
        </w:rPr>
        <w:t xml:space="preserve"> НА ОБЩЕСТВЕНАТА ПОРЪЧКА</w:t>
      </w:r>
      <w:r w:rsidRPr="008621D3">
        <w:rPr>
          <w:rFonts w:ascii="Verdana" w:hAnsi="Verdana"/>
          <w:b/>
        </w:rPr>
        <w:t>.</w:t>
      </w:r>
    </w:p>
    <w:p w:rsidR="00283F48" w:rsidRDefault="00283F48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1D493F" w:rsidRDefault="00522820" w:rsidP="00AD407E">
      <w:pPr>
        <w:spacing w:after="0" w:line="360" w:lineRule="auto"/>
        <w:jc w:val="both"/>
        <w:rPr>
          <w:rFonts w:ascii="Verdana" w:hAnsi="Verdana"/>
        </w:rPr>
      </w:pPr>
      <w:r w:rsidRPr="00522820">
        <w:rPr>
          <w:rFonts w:ascii="Verdana" w:hAnsi="Verdana"/>
        </w:rPr>
        <w:t>Максималният разполагаем финансов ресурс на Възложителя за изпълнение на предмета на нас</w:t>
      </w:r>
      <w:r w:rsidR="00C92C02">
        <w:rPr>
          <w:rFonts w:ascii="Verdana" w:hAnsi="Verdana"/>
        </w:rPr>
        <w:t>тоящата поръчка е в размер на 60 0</w:t>
      </w:r>
      <w:r w:rsidRPr="00522820">
        <w:rPr>
          <w:rFonts w:ascii="Verdana" w:hAnsi="Verdana"/>
        </w:rPr>
        <w:t>00 лв. без ДДС.</w:t>
      </w:r>
    </w:p>
    <w:p w:rsidR="00522820" w:rsidRPr="00522820" w:rsidRDefault="00522820" w:rsidP="00AD407E">
      <w:pPr>
        <w:spacing w:after="0" w:line="360" w:lineRule="auto"/>
        <w:jc w:val="both"/>
        <w:rPr>
          <w:rFonts w:ascii="Verdana" w:hAnsi="Verdana"/>
          <w:bCs/>
          <w:i/>
          <w:iCs/>
        </w:rPr>
      </w:pPr>
      <w:r w:rsidRPr="00522820">
        <w:rPr>
          <w:rFonts w:ascii="Verdana" w:hAnsi="Verdana"/>
          <w:bCs/>
        </w:rPr>
        <w:t>Участник в обществената поръчка</w:t>
      </w:r>
      <w:r>
        <w:rPr>
          <w:rFonts w:ascii="Verdana" w:hAnsi="Verdana"/>
          <w:bCs/>
        </w:rPr>
        <w:t xml:space="preserve"> </w:t>
      </w:r>
      <w:r w:rsidRPr="00522820">
        <w:rPr>
          <w:rFonts w:ascii="Verdana" w:hAnsi="Verdana"/>
          <w:bCs/>
        </w:rPr>
        <w:t xml:space="preserve">ще бъде </w:t>
      </w:r>
      <w:r>
        <w:rPr>
          <w:rFonts w:ascii="Verdana" w:hAnsi="Verdana"/>
        </w:rPr>
        <w:t>отстранен</w:t>
      </w:r>
      <w:r w:rsidRPr="00522820">
        <w:rPr>
          <w:rFonts w:ascii="Verdana" w:hAnsi="Verdana"/>
          <w:bCs/>
        </w:rPr>
        <w:t>, ако ценовото му предложение надвишава максималната стойност на поръчката</w:t>
      </w:r>
      <w:r w:rsidRPr="00522820">
        <w:rPr>
          <w:rFonts w:ascii="Verdana" w:hAnsi="Verdana"/>
          <w:bCs/>
          <w:i/>
          <w:iCs/>
        </w:rPr>
        <w:t>.</w:t>
      </w:r>
    </w:p>
    <w:p w:rsidR="001874F4" w:rsidRPr="001874F4" w:rsidRDefault="00F300FE" w:rsidP="00AD407E">
      <w:pPr>
        <w:spacing w:after="0" w:line="360" w:lineRule="auto"/>
        <w:jc w:val="both"/>
        <w:rPr>
          <w:rFonts w:ascii="Verdana" w:hAnsi="Verdana"/>
        </w:rPr>
      </w:pPr>
      <w:r w:rsidRPr="00F300FE">
        <w:rPr>
          <w:rFonts w:ascii="Verdana" w:hAnsi="Verdana"/>
        </w:rPr>
        <w:t xml:space="preserve">Чрез възлагане на обществената поръчка ще бъдат избрани изпълнители </w:t>
      </w:r>
      <w:r w:rsidR="001874F4">
        <w:rPr>
          <w:rFonts w:ascii="Verdana" w:hAnsi="Verdana"/>
        </w:rPr>
        <w:t>с цел</w:t>
      </w:r>
      <w:r w:rsidR="001874F4" w:rsidRPr="001874F4">
        <w:rPr>
          <w:rFonts w:ascii="Verdana" w:hAnsi="Verdana"/>
        </w:rPr>
        <w:t xml:space="preserve"> да бъдат извършени </w:t>
      </w:r>
      <w:proofErr w:type="spellStart"/>
      <w:r w:rsidR="001874F4" w:rsidRPr="001874F4">
        <w:rPr>
          <w:rFonts w:ascii="Verdana" w:hAnsi="Verdana"/>
        </w:rPr>
        <w:t>маркшайдерски</w:t>
      </w:r>
      <w:proofErr w:type="spellEnd"/>
      <w:r w:rsidR="001874F4" w:rsidRPr="001874F4">
        <w:rPr>
          <w:rFonts w:ascii="Verdana" w:hAnsi="Verdana"/>
        </w:rPr>
        <w:t xml:space="preserve"> замери, които да дадат информация за анализ на получените резултати с водените на отчет данни в Националния баланс на запасите и ресурсите на находища на подземни богатства и тези декларирани от концесионерите в съответните отчети.</w:t>
      </w:r>
    </w:p>
    <w:p w:rsidR="001874F4" w:rsidRPr="00A21AD5" w:rsidRDefault="001874F4" w:rsidP="00AD407E">
      <w:pPr>
        <w:spacing w:after="0" w:line="360" w:lineRule="auto"/>
        <w:jc w:val="both"/>
        <w:rPr>
          <w:rFonts w:ascii="Verdana" w:hAnsi="Verdana"/>
        </w:rPr>
      </w:pPr>
      <w:r w:rsidRPr="00A21AD5">
        <w:rPr>
          <w:rFonts w:ascii="Verdana" w:hAnsi="Verdana"/>
        </w:rPr>
        <w:t xml:space="preserve">С извършването на </w:t>
      </w:r>
      <w:proofErr w:type="spellStart"/>
      <w:r w:rsidRPr="00A21AD5">
        <w:rPr>
          <w:rFonts w:ascii="Verdana" w:hAnsi="Verdana"/>
        </w:rPr>
        <w:t>маркшайдерските</w:t>
      </w:r>
      <w:proofErr w:type="spellEnd"/>
      <w:r w:rsidRPr="00A21AD5">
        <w:rPr>
          <w:rFonts w:ascii="Verdana" w:hAnsi="Verdana"/>
        </w:rPr>
        <w:t xml:space="preserve"> замери ще се допълни графичната информация относно недобитото количество от съответното подземно богатство, неговото пространствено разположение, фактическото състояние на повърхността в района на предоставената концесионна площ, изградените </w:t>
      </w:r>
      <w:proofErr w:type="spellStart"/>
      <w:r w:rsidRPr="00A21AD5">
        <w:rPr>
          <w:rFonts w:ascii="Verdana" w:hAnsi="Verdana"/>
        </w:rPr>
        <w:t>насипища</w:t>
      </w:r>
      <w:proofErr w:type="spellEnd"/>
      <w:r w:rsidRPr="00A21AD5">
        <w:rPr>
          <w:rFonts w:ascii="Verdana" w:hAnsi="Verdana"/>
        </w:rPr>
        <w:t>, пътища и т.н.</w:t>
      </w:r>
      <w:r w:rsidR="00A21AD5" w:rsidRPr="00A21AD5">
        <w:rPr>
          <w:rFonts w:ascii="Verdana" w:hAnsi="Verdana"/>
        </w:rPr>
        <w:t xml:space="preserve">, като по този начин </w:t>
      </w:r>
      <w:r w:rsidR="007F796D" w:rsidRPr="00A21AD5">
        <w:rPr>
          <w:rFonts w:ascii="Verdana" w:hAnsi="Verdana"/>
        </w:rPr>
        <w:t>ще се повиши контрола по изпълнение на Годишните и Цялостни работни проекти за добив и първична преработка.</w:t>
      </w:r>
    </w:p>
    <w:p w:rsidR="008621D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621D3">
        <w:rPr>
          <w:rFonts w:ascii="Verdana" w:hAnsi="Verdana"/>
        </w:rPr>
        <w:t>Предвид изложеното, с цел да се осигури максимална публичност, респективно да се постигнат и най-добрите за възложителя условия, да се защити обществения интерес, посредством осъществяване на контрол върху разходването на средства и едновременно с това да насърчи конкуренцията, като се създадат равни условия и прозрачност при участие на неограничен кръг от заинтересовани лица, както и при съблюдаване нормата на чл. 20, ал. 3, т. 2 ЗОП, е определен реда за възлагане на обществената поръчка - чрез обява за събиране на оферти по реда на Глава двадесет и шеста от ЗОП.</w:t>
      </w:r>
      <w:r w:rsidR="00F300FE">
        <w:rPr>
          <w:rFonts w:ascii="Verdana" w:hAnsi="Verdana"/>
        </w:rPr>
        <w:t xml:space="preserve"> </w:t>
      </w:r>
    </w:p>
    <w:p w:rsidR="00880444" w:rsidRPr="008621D3" w:rsidRDefault="00880444" w:rsidP="00AD407E">
      <w:pPr>
        <w:spacing w:after="0" w:line="360" w:lineRule="auto"/>
        <w:jc w:val="both"/>
        <w:rPr>
          <w:rFonts w:ascii="Verdana" w:hAnsi="Verdana"/>
        </w:rPr>
      </w:pPr>
    </w:p>
    <w:p w:rsidR="009400D4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C21EDB">
        <w:rPr>
          <w:rFonts w:ascii="Verdana" w:hAnsi="Verdana"/>
          <w:b/>
        </w:rPr>
        <w:t xml:space="preserve">ІІІ. ПРОГНОЗНА СТОЙНОСТ НА ПОРЪЧКАТА. </w:t>
      </w:r>
    </w:p>
    <w:p w:rsidR="00283F48" w:rsidRDefault="00283F48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C21EDB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C21EDB">
        <w:rPr>
          <w:rFonts w:ascii="Verdana" w:hAnsi="Verdana"/>
        </w:rPr>
        <w:lastRenderedPageBreak/>
        <w:t xml:space="preserve">Настоящата обществената поръчка се финансира </w:t>
      </w:r>
      <w:r w:rsidR="00880444">
        <w:rPr>
          <w:rFonts w:ascii="Verdana" w:hAnsi="Verdana"/>
        </w:rPr>
        <w:t>със средства от бюджета на Министерството на енергетиката</w:t>
      </w:r>
      <w:r w:rsidR="00C21EDB" w:rsidRPr="00F300FE">
        <w:rPr>
          <w:rFonts w:ascii="Verdana" w:hAnsi="Verdana"/>
        </w:rPr>
        <w:t>.</w:t>
      </w:r>
    </w:p>
    <w:p w:rsidR="008621D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F41A7C">
        <w:rPr>
          <w:rFonts w:ascii="Verdana" w:hAnsi="Verdana"/>
        </w:rPr>
        <w:t xml:space="preserve">Прогнозната стойност на поръчката е </w:t>
      </w:r>
      <w:r w:rsidR="00880444">
        <w:rPr>
          <w:rFonts w:ascii="Verdana" w:hAnsi="Verdana"/>
        </w:rPr>
        <w:t>60</w:t>
      </w:r>
      <w:r w:rsidR="00C21EDB" w:rsidRPr="00C23EBB">
        <w:rPr>
          <w:rFonts w:ascii="Verdana" w:hAnsi="Verdana"/>
        </w:rPr>
        <w:t> </w:t>
      </w:r>
      <w:r w:rsidR="00880444">
        <w:rPr>
          <w:rFonts w:ascii="Verdana" w:hAnsi="Verdana"/>
        </w:rPr>
        <w:t>0</w:t>
      </w:r>
      <w:r w:rsidR="0067608B">
        <w:rPr>
          <w:rFonts w:ascii="Verdana" w:hAnsi="Verdana"/>
        </w:rPr>
        <w:t>00</w:t>
      </w:r>
      <w:r w:rsidRPr="00F41A7C">
        <w:rPr>
          <w:rFonts w:ascii="Verdana" w:hAnsi="Verdana"/>
        </w:rPr>
        <w:t xml:space="preserve"> лева без ДДС, с включени всички разходи (вкл. командировъчни) по изпълнението, за целия срок на договора.</w:t>
      </w:r>
    </w:p>
    <w:p w:rsidR="006B0856" w:rsidRDefault="006B0856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A21AD5" w:rsidRDefault="00A21AD5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2F6393" w:rsidP="00AD407E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ІV. ТЕХНИЧЕСКА</w:t>
      </w:r>
      <w:r w:rsidRPr="002F6393">
        <w:rPr>
          <w:rFonts w:ascii="Verdana" w:hAnsi="Verdana"/>
          <w:b/>
        </w:rPr>
        <w:t xml:space="preserve"> СПЕЦИФИКАЦИЯ</w:t>
      </w:r>
      <w:r w:rsidR="008621D3" w:rsidRPr="002F6393">
        <w:rPr>
          <w:rFonts w:ascii="Verdana" w:hAnsi="Verdana"/>
          <w:b/>
        </w:rPr>
        <w:t>.</w:t>
      </w:r>
    </w:p>
    <w:p w:rsidR="00A21AD5" w:rsidRDefault="00A21AD5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5114E" w:rsidRDefault="002F6393" w:rsidP="00AD407E">
      <w:pPr>
        <w:spacing w:after="0" w:line="360" w:lineRule="auto"/>
        <w:jc w:val="both"/>
        <w:rPr>
          <w:rFonts w:ascii="Verdana" w:hAnsi="Verdana"/>
        </w:rPr>
      </w:pPr>
      <w:r w:rsidRPr="002F6393">
        <w:rPr>
          <w:rFonts w:ascii="Verdana" w:hAnsi="Verdana"/>
        </w:rPr>
        <w:t xml:space="preserve">Настоящата техническа спецификация е изготвена в съответствие с изискванията на ЗОП и ППЗОП за възлагане на обществена поръчка с предмет: </w:t>
      </w:r>
      <w:r w:rsidR="0085114E" w:rsidRPr="0085114E">
        <w:rPr>
          <w:rFonts w:ascii="Verdana" w:hAnsi="Verdana"/>
        </w:rPr>
        <w:t xml:space="preserve">„Извършване на </w:t>
      </w:r>
      <w:proofErr w:type="spellStart"/>
      <w:r w:rsidR="0085114E" w:rsidRPr="0085114E">
        <w:rPr>
          <w:rFonts w:ascii="Verdana" w:hAnsi="Verdana"/>
        </w:rPr>
        <w:t>маркшайдерски</w:t>
      </w:r>
      <w:proofErr w:type="spellEnd"/>
      <w:r w:rsidR="0085114E" w:rsidRPr="0085114E">
        <w:rPr>
          <w:rFonts w:ascii="Verdana" w:hAnsi="Verdana"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</w:p>
    <w:p w:rsidR="00E11EC3" w:rsidRPr="007B236B" w:rsidRDefault="00ED4680" w:rsidP="00AD407E">
      <w:pPr>
        <w:pStyle w:val="NoSpacing"/>
        <w:numPr>
          <w:ilvl w:val="0"/>
          <w:numId w:val="13"/>
        </w:numPr>
        <w:spacing w:line="360" w:lineRule="auto"/>
        <w:jc w:val="both"/>
        <w:rPr>
          <w:rFonts w:ascii="Verdana" w:hAnsi="Verdana"/>
          <w:b/>
        </w:rPr>
      </w:pPr>
      <w:r w:rsidRPr="007B236B">
        <w:rPr>
          <w:rFonts w:ascii="Verdana" w:hAnsi="Verdana"/>
          <w:b/>
        </w:rPr>
        <w:t>Предмет</w:t>
      </w:r>
      <w:r w:rsidR="00E11EC3" w:rsidRPr="007B236B">
        <w:rPr>
          <w:rFonts w:ascii="Verdana" w:hAnsi="Verdana"/>
          <w:b/>
        </w:rPr>
        <w:t xml:space="preserve"> </w:t>
      </w:r>
    </w:p>
    <w:p w:rsidR="00E11EC3" w:rsidRPr="007B236B" w:rsidRDefault="00E11EC3" w:rsidP="00AD407E">
      <w:pPr>
        <w:spacing w:after="0" w:line="360" w:lineRule="auto"/>
        <w:ind w:left="23" w:right="23" w:firstLine="720"/>
        <w:jc w:val="both"/>
        <w:rPr>
          <w:rFonts w:ascii="Verdana" w:eastAsia="Arial Unicode MS" w:hAnsi="Verdana"/>
        </w:rPr>
      </w:pPr>
      <w:r w:rsidRPr="007B236B">
        <w:rPr>
          <w:rFonts w:ascii="Verdana" w:eastAsia="Arial Unicode MS" w:hAnsi="Verdana"/>
        </w:rPr>
        <w:t xml:space="preserve">Предмет на обществената поръчка е извършване на </w:t>
      </w:r>
      <w:proofErr w:type="spellStart"/>
      <w:r w:rsidRPr="007B236B">
        <w:rPr>
          <w:rFonts w:ascii="Verdana" w:eastAsia="Arial Unicode MS" w:hAnsi="Verdana"/>
        </w:rPr>
        <w:t>маркшайдерски</w:t>
      </w:r>
      <w:proofErr w:type="spellEnd"/>
      <w:r w:rsidRPr="007B236B">
        <w:rPr>
          <w:rFonts w:ascii="Verdana" w:eastAsia="Arial Unicode MS" w:hAnsi="Verdana"/>
        </w:rPr>
        <w:t xml:space="preserve"> измервания на 15 бр. находища на подземни богатства, както следва:</w:t>
      </w:r>
    </w:p>
    <w:p w:rsidR="00E11EC3" w:rsidRPr="007B236B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B236B">
        <w:rPr>
          <w:rFonts w:ascii="Verdana" w:eastAsia="Tahoma" w:hAnsi="Verdana" w:cs="Tahoma"/>
        </w:rPr>
        <w:t>находище „</w:t>
      </w:r>
      <w:proofErr w:type="spellStart"/>
      <w:r w:rsidRPr="007B236B">
        <w:rPr>
          <w:rFonts w:ascii="Verdana" w:eastAsia="Times New Roman" w:hAnsi="Verdana" w:cs="Times New Roman"/>
        </w:rPr>
        <w:t>Маница</w:t>
      </w:r>
      <w:proofErr w:type="spellEnd"/>
      <w:r w:rsidRPr="007B236B">
        <w:rPr>
          <w:rFonts w:ascii="Verdana" w:eastAsia="Tahoma" w:hAnsi="Verdana" w:cs="Tahoma"/>
        </w:rPr>
        <w:t xml:space="preserve">”, </w:t>
      </w:r>
      <w:r w:rsidR="00D663F8" w:rsidRPr="00D663F8">
        <w:rPr>
          <w:rFonts w:ascii="Verdana" w:eastAsia="Tahoma" w:hAnsi="Verdana" w:cs="Tahoma"/>
        </w:rPr>
        <w:t xml:space="preserve">с концесионер </w:t>
      </w:r>
      <w:r w:rsidRPr="007B236B">
        <w:rPr>
          <w:rFonts w:ascii="Verdana" w:eastAsia="Tahoma" w:hAnsi="Verdana" w:cs="Tahoma"/>
        </w:rPr>
        <w:t xml:space="preserve">ЕТ "Морски бряг - Атанаска Василева", гр. Варна, разположено в землището на </w:t>
      </w:r>
      <w:r w:rsidRPr="007B236B">
        <w:rPr>
          <w:rFonts w:ascii="Verdana" w:eastAsia="Times New Roman" w:hAnsi="Verdana" w:cs="Times New Roman"/>
        </w:rPr>
        <w:t xml:space="preserve">с. Виница, общ. Варна, </w:t>
      </w:r>
      <w:proofErr w:type="spellStart"/>
      <w:r w:rsidRPr="007B236B">
        <w:rPr>
          <w:rFonts w:ascii="Verdana" w:eastAsia="Times New Roman" w:hAnsi="Verdana" w:cs="Times New Roman"/>
        </w:rPr>
        <w:t>обл</w:t>
      </w:r>
      <w:proofErr w:type="spellEnd"/>
      <w:r w:rsidRPr="007B236B">
        <w:rPr>
          <w:rFonts w:ascii="Verdana" w:eastAsia="Times New Roman" w:hAnsi="Verdana" w:cs="Times New Roman"/>
        </w:rPr>
        <w:t>. Варна</w:t>
      </w:r>
      <w:r w:rsidRPr="007B236B">
        <w:rPr>
          <w:rFonts w:ascii="Verdana" w:eastAsia="Tahoma" w:hAnsi="Verdana" w:cs="Tahoma"/>
        </w:rPr>
        <w:t>;</w:t>
      </w:r>
    </w:p>
    <w:p w:rsidR="00E11EC3" w:rsidRPr="007B236B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B236B">
        <w:rPr>
          <w:rFonts w:ascii="Verdana" w:eastAsia="Tahoma" w:hAnsi="Verdana" w:cs="Tahoma"/>
        </w:rPr>
        <w:t xml:space="preserve">находище </w:t>
      </w:r>
      <w:r w:rsidRPr="007B236B">
        <w:rPr>
          <w:rFonts w:ascii="Verdana" w:eastAsia="Tahoma" w:hAnsi="Verdana" w:cs="Tahoma"/>
          <w:bCs/>
        </w:rPr>
        <w:t>„</w:t>
      </w:r>
      <w:r w:rsidRPr="007B236B">
        <w:rPr>
          <w:rFonts w:ascii="Verdana" w:eastAsia="Times New Roman" w:hAnsi="Verdana" w:cs="Times New Roman"/>
        </w:rPr>
        <w:t xml:space="preserve">Суворово“, </w:t>
      </w:r>
      <w:r w:rsidRPr="007B236B">
        <w:rPr>
          <w:rFonts w:ascii="Verdana" w:eastAsia="Tahoma" w:hAnsi="Verdana" w:cs="Tahoma"/>
        </w:rPr>
        <w:t>с концесионер "Пътища и мостове" ЕООД, гр. Варна. разположено в землището на</w:t>
      </w:r>
      <w:r w:rsidRPr="007B236B">
        <w:rPr>
          <w:rFonts w:ascii="Verdana" w:eastAsia="Times New Roman" w:hAnsi="Verdana" w:cs="Times New Roman"/>
        </w:rPr>
        <w:t xml:space="preserve"> гр. Суворово, общ. Суворово, </w:t>
      </w:r>
      <w:proofErr w:type="spellStart"/>
      <w:r w:rsidRPr="007B236B">
        <w:rPr>
          <w:rFonts w:ascii="Verdana" w:eastAsia="Times New Roman" w:hAnsi="Verdana" w:cs="Times New Roman"/>
        </w:rPr>
        <w:t>обл</w:t>
      </w:r>
      <w:proofErr w:type="spellEnd"/>
      <w:r w:rsidRPr="007B236B">
        <w:rPr>
          <w:rFonts w:ascii="Verdana" w:eastAsia="Times New Roman" w:hAnsi="Verdana" w:cs="Times New Roman"/>
        </w:rPr>
        <w:t>. Варна</w:t>
      </w:r>
      <w:r w:rsidRPr="007B236B">
        <w:rPr>
          <w:rFonts w:ascii="Verdana" w:eastAsia="Tahoma" w:hAnsi="Verdana" w:cs="Tahoma"/>
        </w:rPr>
        <w:t>;</w:t>
      </w:r>
    </w:p>
    <w:p w:rsidR="00E11EC3" w:rsidRPr="007B236B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B236B">
        <w:rPr>
          <w:rFonts w:ascii="Verdana" w:eastAsia="Tahoma" w:hAnsi="Verdana" w:cs="Tahoma"/>
        </w:rPr>
        <w:t>находище</w:t>
      </w:r>
      <w:r w:rsidRPr="007B236B">
        <w:rPr>
          <w:rFonts w:ascii="Verdana" w:eastAsia="Tahoma" w:hAnsi="Verdana" w:cs="Tahoma"/>
          <w:b/>
        </w:rPr>
        <w:t xml:space="preserve"> </w:t>
      </w:r>
      <w:r w:rsidRPr="007B236B">
        <w:rPr>
          <w:rFonts w:ascii="Verdana" w:eastAsia="Tahoma" w:hAnsi="Verdana" w:cs="Tahoma"/>
          <w:bCs/>
        </w:rPr>
        <w:t>„</w:t>
      </w:r>
      <w:r w:rsidRPr="007B236B">
        <w:rPr>
          <w:rFonts w:ascii="Verdana" w:eastAsia="Times New Roman" w:hAnsi="Verdana" w:cs="Times New Roman"/>
        </w:rPr>
        <w:t>Цареви ливади</w:t>
      </w:r>
      <w:r w:rsidRPr="007B236B">
        <w:rPr>
          <w:rFonts w:ascii="Verdana" w:eastAsia="Tahoma" w:hAnsi="Verdana" w:cs="Tahoma"/>
          <w:bCs/>
        </w:rPr>
        <w:t>“, с концесионер „</w:t>
      </w:r>
      <w:proofErr w:type="spellStart"/>
      <w:r w:rsidRPr="007B236B">
        <w:rPr>
          <w:rFonts w:ascii="Verdana" w:eastAsia="Tahoma" w:hAnsi="Verdana" w:cs="Tahoma"/>
          <w:bCs/>
        </w:rPr>
        <w:t>Фининвестмънт</w:t>
      </w:r>
      <w:proofErr w:type="spellEnd"/>
      <w:r w:rsidRPr="007B236B">
        <w:rPr>
          <w:rFonts w:ascii="Verdana" w:eastAsia="Tahoma" w:hAnsi="Verdana" w:cs="Tahoma"/>
          <w:bCs/>
        </w:rPr>
        <w:t>” ЕООД, гр. Варна</w:t>
      </w:r>
      <w:r w:rsidRPr="007B236B">
        <w:rPr>
          <w:rFonts w:ascii="Verdana" w:eastAsia="Calibri" w:hAnsi="Verdana" w:cs="Times New Roman"/>
        </w:rPr>
        <w:t xml:space="preserve">, </w:t>
      </w:r>
      <w:r w:rsidRPr="007B236B">
        <w:rPr>
          <w:rFonts w:ascii="Verdana" w:eastAsia="Tahoma" w:hAnsi="Verdana" w:cs="Tahoma"/>
        </w:rPr>
        <w:t>разположено в землището на</w:t>
      </w:r>
      <w:r w:rsidRPr="007B236B">
        <w:rPr>
          <w:rFonts w:ascii="Verdana" w:eastAsia="Times New Roman" w:hAnsi="Verdana" w:cs="Times New Roman"/>
        </w:rPr>
        <w:t xml:space="preserve"> гр. Суворово, общ. Суворово, </w:t>
      </w:r>
      <w:proofErr w:type="spellStart"/>
      <w:r w:rsidRPr="007B236B">
        <w:rPr>
          <w:rFonts w:ascii="Verdana" w:eastAsia="Times New Roman" w:hAnsi="Verdana" w:cs="Times New Roman"/>
        </w:rPr>
        <w:t>обл</w:t>
      </w:r>
      <w:proofErr w:type="spellEnd"/>
      <w:r w:rsidRPr="007B236B">
        <w:rPr>
          <w:rFonts w:ascii="Verdana" w:eastAsia="Times New Roman" w:hAnsi="Verdana" w:cs="Times New Roman"/>
        </w:rPr>
        <w:t>. Варна</w:t>
      </w:r>
      <w:r w:rsidRPr="007B236B">
        <w:rPr>
          <w:rFonts w:ascii="Verdana" w:eastAsia="Tahoma" w:hAnsi="Verdana" w:cs="Tahoma"/>
        </w:rPr>
        <w:t>;</w:t>
      </w:r>
    </w:p>
    <w:p w:rsidR="00E11EC3" w:rsidRPr="007B236B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B236B">
        <w:rPr>
          <w:rFonts w:ascii="Verdana" w:eastAsia="Tahoma" w:hAnsi="Verdana" w:cs="Tahoma"/>
        </w:rPr>
        <w:t xml:space="preserve">находище </w:t>
      </w:r>
      <w:r w:rsidRPr="007B236B">
        <w:rPr>
          <w:rFonts w:ascii="Verdana" w:eastAsia="Tahoma" w:hAnsi="Verdana" w:cs="Tahoma"/>
          <w:bCs/>
        </w:rPr>
        <w:t>„</w:t>
      </w:r>
      <w:proofErr w:type="spellStart"/>
      <w:r w:rsidRPr="007B236B">
        <w:rPr>
          <w:rFonts w:ascii="Verdana" w:eastAsia="Tahoma" w:hAnsi="Verdana" w:cs="Tahoma"/>
          <w:bCs/>
        </w:rPr>
        <w:t>Мътница</w:t>
      </w:r>
      <w:proofErr w:type="spellEnd"/>
      <w:r w:rsidRPr="007B236B">
        <w:rPr>
          <w:rFonts w:ascii="Verdana" w:eastAsia="Tahoma" w:hAnsi="Verdana" w:cs="Tahoma"/>
          <w:bCs/>
        </w:rPr>
        <w:t xml:space="preserve"> 2“, с концесионер </w:t>
      </w:r>
      <w:r w:rsidRPr="007B236B">
        <w:rPr>
          <w:rFonts w:ascii="Verdana" w:eastAsia="Tahoma" w:hAnsi="Verdana" w:cs="Tahoma"/>
        </w:rPr>
        <w:t>"Пътища" АД, гр. Шумен, разположено в землището на</w:t>
      </w:r>
      <w:r w:rsidRPr="007B236B">
        <w:rPr>
          <w:rFonts w:ascii="Verdana" w:eastAsia="Times New Roman" w:hAnsi="Verdana" w:cs="Times New Roman"/>
        </w:rPr>
        <w:t xml:space="preserve"> гр. Шумен, общ. Шумен, </w:t>
      </w:r>
      <w:proofErr w:type="spellStart"/>
      <w:r w:rsidRPr="007B236B">
        <w:rPr>
          <w:rFonts w:ascii="Verdana" w:eastAsia="Times New Roman" w:hAnsi="Verdana" w:cs="Times New Roman"/>
        </w:rPr>
        <w:t>обл</w:t>
      </w:r>
      <w:proofErr w:type="spellEnd"/>
      <w:r w:rsidRPr="007B236B">
        <w:rPr>
          <w:rFonts w:ascii="Verdana" w:eastAsia="Times New Roman" w:hAnsi="Verdana" w:cs="Times New Roman"/>
        </w:rPr>
        <w:t>. Шумен</w:t>
      </w:r>
      <w:r w:rsidRPr="007B236B">
        <w:rPr>
          <w:rFonts w:ascii="Verdana" w:eastAsia="Tahoma" w:hAnsi="Verdana" w:cs="Tahoma"/>
        </w:rPr>
        <w:t>;</w:t>
      </w:r>
    </w:p>
    <w:p w:rsidR="00E11EC3" w:rsidRPr="007B236B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B236B">
        <w:rPr>
          <w:rFonts w:ascii="Verdana" w:eastAsia="Calibri" w:hAnsi="Verdana" w:cs="Times New Roman"/>
        </w:rPr>
        <w:t>находище „</w:t>
      </w:r>
      <w:proofErr w:type="spellStart"/>
      <w:r w:rsidRPr="007B236B">
        <w:rPr>
          <w:rFonts w:ascii="Verdana" w:eastAsia="Calibri" w:hAnsi="Verdana" w:cs="Times New Roman"/>
        </w:rPr>
        <w:t>Адъта</w:t>
      </w:r>
      <w:proofErr w:type="spellEnd"/>
      <w:r w:rsidRPr="007B236B">
        <w:rPr>
          <w:rFonts w:ascii="Verdana" w:eastAsia="Calibri" w:hAnsi="Verdana" w:cs="Times New Roman"/>
        </w:rPr>
        <w:t>“, с концесионер „</w:t>
      </w:r>
      <w:proofErr w:type="spellStart"/>
      <w:r w:rsidRPr="007B236B">
        <w:rPr>
          <w:rFonts w:ascii="Verdana" w:eastAsia="Calibri" w:hAnsi="Verdana" w:cs="Times New Roman"/>
        </w:rPr>
        <w:t>Паола</w:t>
      </w:r>
      <w:proofErr w:type="spellEnd"/>
      <w:r w:rsidRPr="007B236B">
        <w:rPr>
          <w:rFonts w:ascii="Verdana" w:eastAsia="Calibri" w:hAnsi="Verdana" w:cs="Times New Roman"/>
        </w:rPr>
        <w:t xml:space="preserve"> </w:t>
      </w:r>
      <w:proofErr w:type="spellStart"/>
      <w:r w:rsidRPr="007B236B">
        <w:rPr>
          <w:rFonts w:ascii="Verdana" w:eastAsia="Calibri" w:hAnsi="Verdana" w:cs="Times New Roman"/>
        </w:rPr>
        <w:t>комерс</w:t>
      </w:r>
      <w:proofErr w:type="spellEnd"/>
      <w:r w:rsidRPr="007B236B">
        <w:rPr>
          <w:rFonts w:ascii="Verdana" w:eastAsia="Calibri" w:hAnsi="Verdana" w:cs="Times New Roman"/>
        </w:rPr>
        <w:t>” ООД, гр. Ловеч, разположено в землище Александрово, общ</w:t>
      </w:r>
      <w:r w:rsidRPr="007B236B">
        <w:rPr>
          <w:rFonts w:ascii="Verdana" w:eastAsia="Times New Roman" w:hAnsi="Verdana" w:cs="Times New Roman"/>
        </w:rPr>
        <w:t>. Ловеч</w:t>
      </w:r>
      <w:r w:rsidRPr="007B236B">
        <w:rPr>
          <w:rFonts w:ascii="Verdana" w:eastAsia="Calibri" w:hAnsi="Verdana" w:cs="Times New Roman"/>
        </w:rPr>
        <w:t>;</w:t>
      </w:r>
    </w:p>
    <w:p w:rsidR="00E11EC3" w:rsidRPr="007B236B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B236B">
        <w:rPr>
          <w:rFonts w:ascii="Verdana" w:eastAsia="Calibri" w:hAnsi="Verdana" w:cs="Times New Roman"/>
        </w:rPr>
        <w:t>находище „Железино”, с концесионер „</w:t>
      </w:r>
      <w:proofErr w:type="spellStart"/>
      <w:r w:rsidRPr="007B236B">
        <w:rPr>
          <w:rFonts w:ascii="Verdana" w:eastAsia="Calibri" w:hAnsi="Verdana" w:cs="Times New Roman"/>
        </w:rPr>
        <w:t>Динел</w:t>
      </w:r>
      <w:proofErr w:type="spellEnd"/>
      <w:r w:rsidRPr="007B236B">
        <w:rPr>
          <w:rFonts w:ascii="Verdana" w:eastAsia="Calibri" w:hAnsi="Verdana" w:cs="Times New Roman"/>
        </w:rPr>
        <w:t xml:space="preserve">” ЕООД, гр. София, разположено в землището на с. Нова ливада, общ. </w:t>
      </w:r>
      <w:r w:rsidRPr="007B236B">
        <w:rPr>
          <w:rFonts w:ascii="Verdana" w:eastAsia="Times New Roman" w:hAnsi="Verdana" w:cs="Times New Roman"/>
        </w:rPr>
        <w:t xml:space="preserve">Ивайловград, </w:t>
      </w:r>
      <w:proofErr w:type="spellStart"/>
      <w:r w:rsidRPr="007B236B">
        <w:rPr>
          <w:rFonts w:ascii="Verdana" w:eastAsia="Times New Roman" w:hAnsi="Verdana" w:cs="Times New Roman"/>
        </w:rPr>
        <w:t>обл</w:t>
      </w:r>
      <w:proofErr w:type="spellEnd"/>
      <w:r w:rsidRPr="007B236B">
        <w:rPr>
          <w:rFonts w:ascii="Verdana" w:eastAsia="Times New Roman" w:hAnsi="Verdana" w:cs="Times New Roman"/>
        </w:rPr>
        <w:t>. Хасково</w:t>
      </w:r>
      <w:r w:rsidRPr="007B236B">
        <w:rPr>
          <w:rFonts w:ascii="Verdana" w:eastAsia="Calibri" w:hAnsi="Verdana" w:cs="Times New Roman"/>
        </w:rPr>
        <w:t>;</w:t>
      </w:r>
    </w:p>
    <w:p w:rsidR="00E11EC3" w:rsidRPr="007B236B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B236B">
        <w:rPr>
          <w:rFonts w:ascii="Verdana" w:eastAsia="Calibri" w:hAnsi="Verdana" w:cs="Times New Roman"/>
        </w:rPr>
        <w:lastRenderedPageBreak/>
        <w:t>находище „Кобилино”, участък „Нивата”, с концесионер „</w:t>
      </w:r>
      <w:proofErr w:type="spellStart"/>
      <w:r w:rsidRPr="007B236B">
        <w:rPr>
          <w:rFonts w:ascii="Verdana" w:eastAsia="Calibri" w:hAnsi="Verdana" w:cs="Times New Roman"/>
        </w:rPr>
        <w:t>Риолит</w:t>
      </w:r>
      <w:proofErr w:type="spellEnd"/>
      <w:r w:rsidRPr="007B236B">
        <w:rPr>
          <w:rFonts w:ascii="Verdana" w:eastAsia="Calibri" w:hAnsi="Verdana" w:cs="Times New Roman"/>
        </w:rPr>
        <w:t xml:space="preserve">" ЕООД, гр. Крумовград, разположено в землището на с. Кобилино, общ. </w:t>
      </w:r>
      <w:r w:rsidRPr="007B236B">
        <w:rPr>
          <w:rFonts w:ascii="Verdana" w:eastAsia="Times New Roman" w:hAnsi="Verdana" w:cs="Times New Roman"/>
        </w:rPr>
        <w:t xml:space="preserve">Ивайловград, </w:t>
      </w:r>
      <w:proofErr w:type="spellStart"/>
      <w:r w:rsidRPr="007B236B">
        <w:rPr>
          <w:rFonts w:ascii="Verdana" w:eastAsia="Times New Roman" w:hAnsi="Verdana" w:cs="Times New Roman"/>
        </w:rPr>
        <w:t>обл</w:t>
      </w:r>
      <w:proofErr w:type="spellEnd"/>
      <w:r w:rsidRPr="007B236B">
        <w:rPr>
          <w:rFonts w:ascii="Verdana" w:eastAsia="Times New Roman" w:hAnsi="Verdana" w:cs="Times New Roman"/>
        </w:rPr>
        <w:t>. Хасково</w:t>
      </w:r>
      <w:r w:rsidRPr="007B236B">
        <w:rPr>
          <w:rFonts w:ascii="Verdana" w:eastAsia="Calibri" w:hAnsi="Verdana" w:cs="Times New Roman"/>
        </w:rPr>
        <w:t>;</w:t>
      </w:r>
    </w:p>
    <w:p w:rsidR="00E11EC3" w:rsidRPr="007E3BD9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B236B">
        <w:rPr>
          <w:rFonts w:ascii="Verdana" w:eastAsia="Calibri" w:hAnsi="Verdana" w:cs="Times New Roman"/>
        </w:rPr>
        <w:t>находище „</w:t>
      </w:r>
      <w:proofErr w:type="spellStart"/>
      <w:r w:rsidRPr="007B236B">
        <w:rPr>
          <w:rFonts w:ascii="Verdana" w:eastAsia="Calibri" w:hAnsi="Verdana" w:cs="Times New Roman"/>
        </w:rPr>
        <w:t>Ерковище</w:t>
      </w:r>
      <w:proofErr w:type="spellEnd"/>
      <w:r w:rsidRPr="007B236B">
        <w:rPr>
          <w:rFonts w:ascii="Verdana" w:eastAsia="Calibri" w:hAnsi="Verdana" w:cs="Times New Roman"/>
        </w:rPr>
        <w:t>”, участъци „</w:t>
      </w:r>
      <w:proofErr w:type="spellStart"/>
      <w:r w:rsidRPr="007B236B">
        <w:rPr>
          <w:rFonts w:ascii="Verdana" w:eastAsia="Calibri" w:hAnsi="Verdana" w:cs="Times New Roman"/>
        </w:rPr>
        <w:t>Вриза</w:t>
      </w:r>
      <w:proofErr w:type="spellEnd"/>
      <w:r w:rsidRPr="007B236B">
        <w:rPr>
          <w:rFonts w:ascii="Verdana" w:eastAsia="Calibri" w:hAnsi="Verdana" w:cs="Times New Roman"/>
        </w:rPr>
        <w:t xml:space="preserve">“ и „Бистрица“, с концесионер ЕТ „Румен Арнаудов-Айтен Арнаудова”, разположено в землището на с. </w:t>
      </w:r>
      <w:r w:rsidRPr="007E3BD9">
        <w:rPr>
          <w:rFonts w:ascii="Verdana" w:eastAsia="Calibri" w:hAnsi="Verdana" w:cs="Times New Roman"/>
        </w:rPr>
        <w:t xml:space="preserve">Плетена, </w:t>
      </w:r>
      <w:r w:rsidRPr="007E3BD9">
        <w:rPr>
          <w:rFonts w:ascii="Verdana" w:eastAsia="Times New Roman" w:hAnsi="Verdana" w:cs="Times New Roman"/>
        </w:rPr>
        <w:t xml:space="preserve">общ. Сатовча, </w:t>
      </w:r>
      <w:proofErr w:type="spellStart"/>
      <w:r w:rsidRPr="007E3BD9">
        <w:rPr>
          <w:rFonts w:ascii="Verdana" w:eastAsia="Times New Roman" w:hAnsi="Verdana" w:cs="Times New Roman"/>
        </w:rPr>
        <w:t>обл</w:t>
      </w:r>
      <w:proofErr w:type="spellEnd"/>
      <w:r w:rsidRPr="007E3BD9">
        <w:rPr>
          <w:rFonts w:ascii="Verdana" w:eastAsia="Times New Roman" w:hAnsi="Verdana" w:cs="Times New Roman"/>
        </w:rPr>
        <w:t>. Благоевград;</w:t>
      </w:r>
    </w:p>
    <w:p w:rsidR="00E11EC3" w:rsidRPr="007E3BD9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E3BD9">
        <w:rPr>
          <w:rFonts w:ascii="Verdana" w:eastAsia="Calibri" w:hAnsi="Verdana" w:cs="Times New Roman"/>
        </w:rPr>
        <w:t>находище „</w:t>
      </w:r>
      <w:r w:rsidRPr="007E3BD9">
        <w:rPr>
          <w:rFonts w:ascii="Verdana" w:eastAsia="Times New Roman" w:hAnsi="Verdana" w:cs="Times New Roman"/>
        </w:rPr>
        <w:t>Катрище“, с концесионер „</w:t>
      </w:r>
      <w:proofErr w:type="spellStart"/>
      <w:r w:rsidRPr="007E3BD9">
        <w:rPr>
          <w:rFonts w:ascii="Verdana" w:eastAsia="Times New Roman" w:hAnsi="Verdana" w:cs="Times New Roman"/>
        </w:rPr>
        <w:t>Катстрой</w:t>
      </w:r>
      <w:proofErr w:type="spellEnd"/>
      <w:r w:rsidRPr="007E3BD9">
        <w:rPr>
          <w:rFonts w:ascii="Verdana" w:eastAsia="Times New Roman" w:hAnsi="Verdana" w:cs="Times New Roman"/>
        </w:rPr>
        <w:t xml:space="preserve"> 13“ ЕООД, разположено на територията на общ. Кюстендил, </w:t>
      </w:r>
      <w:proofErr w:type="spellStart"/>
      <w:r w:rsidRPr="007E3BD9">
        <w:rPr>
          <w:rFonts w:ascii="Verdana" w:eastAsia="Times New Roman" w:hAnsi="Verdana" w:cs="Times New Roman"/>
        </w:rPr>
        <w:t>обл</w:t>
      </w:r>
      <w:proofErr w:type="spellEnd"/>
      <w:r w:rsidRPr="007E3BD9">
        <w:rPr>
          <w:rFonts w:ascii="Verdana" w:eastAsia="Times New Roman" w:hAnsi="Verdana" w:cs="Times New Roman"/>
        </w:rPr>
        <w:t>. Кюстендил</w:t>
      </w:r>
      <w:r w:rsidRPr="007E3BD9">
        <w:rPr>
          <w:rFonts w:ascii="Verdana" w:eastAsia="Calibri" w:hAnsi="Verdana" w:cs="Times New Roman"/>
        </w:rPr>
        <w:t>;</w:t>
      </w:r>
    </w:p>
    <w:p w:rsidR="00E11EC3" w:rsidRPr="007E3BD9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E3BD9">
        <w:rPr>
          <w:rFonts w:ascii="Verdana" w:eastAsia="Calibri" w:hAnsi="Verdana" w:cs="Times New Roman"/>
        </w:rPr>
        <w:t>находище „</w:t>
      </w:r>
      <w:proofErr w:type="spellStart"/>
      <w:r w:rsidRPr="007E3BD9">
        <w:rPr>
          <w:rFonts w:ascii="Verdana" w:eastAsia="Calibri" w:hAnsi="Verdana" w:cs="Times New Roman"/>
        </w:rPr>
        <w:t>Събини</w:t>
      </w:r>
      <w:proofErr w:type="spellEnd"/>
      <w:r w:rsidRPr="007E3BD9">
        <w:rPr>
          <w:rFonts w:ascii="Verdana" w:eastAsia="Calibri" w:hAnsi="Verdana" w:cs="Times New Roman"/>
        </w:rPr>
        <w:t xml:space="preserve"> върби - север", концесионер "</w:t>
      </w:r>
      <w:proofErr w:type="spellStart"/>
      <w:r w:rsidRPr="007E3BD9">
        <w:rPr>
          <w:rFonts w:ascii="Verdana" w:eastAsia="Calibri" w:hAnsi="Verdana" w:cs="Times New Roman"/>
        </w:rPr>
        <w:t>Инмат</w:t>
      </w:r>
      <w:proofErr w:type="spellEnd"/>
      <w:r w:rsidRPr="007E3BD9">
        <w:rPr>
          <w:rFonts w:ascii="Verdana" w:eastAsia="Calibri" w:hAnsi="Verdana" w:cs="Times New Roman"/>
        </w:rPr>
        <w:t xml:space="preserve"> - 2004" ООД, </w:t>
      </w:r>
      <w:r w:rsidRPr="007E3BD9">
        <w:rPr>
          <w:rFonts w:ascii="Verdana" w:eastAsia="Times New Roman" w:hAnsi="Verdana" w:cs="Times New Roman"/>
        </w:rPr>
        <w:t>разположено на територията на община Сливен</w:t>
      </w:r>
      <w:r w:rsidRPr="007E3BD9">
        <w:rPr>
          <w:rFonts w:ascii="Verdana" w:eastAsia="Calibri" w:hAnsi="Verdana" w:cs="Times New Roman"/>
        </w:rPr>
        <w:t>;</w:t>
      </w:r>
    </w:p>
    <w:p w:rsidR="00E11EC3" w:rsidRPr="007E3BD9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E3BD9">
        <w:rPr>
          <w:rFonts w:ascii="Verdana" w:eastAsia="Calibri" w:hAnsi="Verdana" w:cs="Times New Roman"/>
        </w:rPr>
        <w:t>находище „</w:t>
      </w:r>
      <w:proofErr w:type="spellStart"/>
      <w:r w:rsidRPr="007E3BD9">
        <w:rPr>
          <w:rFonts w:ascii="Verdana" w:eastAsia="Calibri" w:hAnsi="Verdana" w:cs="Times New Roman"/>
        </w:rPr>
        <w:t>Исенов</w:t>
      </w:r>
      <w:proofErr w:type="spellEnd"/>
      <w:r w:rsidRPr="007E3BD9">
        <w:rPr>
          <w:rFonts w:ascii="Verdana" w:eastAsia="Calibri" w:hAnsi="Verdana" w:cs="Times New Roman"/>
        </w:rPr>
        <w:t xml:space="preserve"> връх", концесионер "ПИ ЕС АЙ" АД, гр. Стара Загора, разположено</w:t>
      </w:r>
      <w:r w:rsidRPr="007E3BD9">
        <w:rPr>
          <w:rFonts w:ascii="Verdana" w:eastAsia="Times New Roman" w:hAnsi="Verdana" w:cs="Times New Roman"/>
        </w:rPr>
        <w:t xml:space="preserve"> в землището на с. Ракитница, община Стара Загора, </w:t>
      </w:r>
      <w:proofErr w:type="spellStart"/>
      <w:r w:rsidRPr="007E3BD9">
        <w:rPr>
          <w:rFonts w:ascii="Verdana" w:eastAsia="Times New Roman" w:hAnsi="Verdana" w:cs="Times New Roman"/>
        </w:rPr>
        <w:t>обл</w:t>
      </w:r>
      <w:proofErr w:type="spellEnd"/>
      <w:r w:rsidRPr="007E3BD9">
        <w:rPr>
          <w:rFonts w:ascii="Verdana" w:eastAsia="Times New Roman" w:hAnsi="Verdana" w:cs="Times New Roman"/>
        </w:rPr>
        <w:t>. Стара Загора</w:t>
      </w:r>
      <w:r w:rsidRPr="007E3BD9">
        <w:rPr>
          <w:rFonts w:ascii="Verdana" w:eastAsia="Calibri" w:hAnsi="Verdana" w:cs="Times New Roman"/>
        </w:rPr>
        <w:t>;</w:t>
      </w:r>
    </w:p>
    <w:p w:rsidR="00E11EC3" w:rsidRPr="007E3BD9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E3BD9">
        <w:rPr>
          <w:rFonts w:ascii="Verdana" w:eastAsia="Calibri" w:hAnsi="Verdana" w:cs="Times New Roman"/>
          <w:lang w:val="bg"/>
        </w:rPr>
        <w:t xml:space="preserve">находище „Нова Шипка, участък "Южен”, концесионер "ЗСК-Девня” АД, гр. Девня, разположено на територията на </w:t>
      </w:r>
      <w:r w:rsidRPr="007E3BD9">
        <w:rPr>
          <w:rFonts w:ascii="Verdana" w:eastAsia="Times New Roman" w:hAnsi="Verdana" w:cs="Times New Roman"/>
        </w:rPr>
        <w:t xml:space="preserve">община Долни Чифлик, </w:t>
      </w:r>
      <w:proofErr w:type="spellStart"/>
      <w:r w:rsidRPr="007E3BD9">
        <w:rPr>
          <w:rFonts w:ascii="Verdana" w:eastAsia="Times New Roman" w:hAnsi="Verdana" w:cs="Times New Roman"/>
        </w:rPr>
        <w:t>обл</w:t>
      </w:r>
      <w:proofErr w:type="spellEnd"/>
      <w:r w:rsidRPr="007E3BD9">
        <w:rPr>
          <w:rFonts w:ascii="Verdana" w:eastAsia="Times New Roman" w:hAnsi="Verdana" w:cs="Times New Roman"/>
        </w:rPr>
        <w:t xml:space="preserve">. </w:t>
      </w:r>
      <w:r w:rsidRPr="007E3BD9">
        <w:rPr>
          <w:rFonts w:ascii="Verdana" w:eastAsia="Calibri" w:hAnsi="Verdana" w:cs="Times New Roman"/>
        </w:rPr>
        <w:t>Варна</w:t>
      </w:r>
      <w:r w:rsidRPr="007E3BD9">
        <w:rPr>
          <w:rFonts w:ascii="Verdana" w:eastAsia="Tahoma" w:hAnsi="Verdana" w:cs="Tahoma"/>
          <w:bCs/>
        </w:rPr>
        <w:t>;</w:t>
      </w:r>
    </w:p>
    <w:p w:rsidR="00E11EC3" w:rsidRPr="007E3BD9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E3BD9">
        <w:rPr>
          <w:rFonts w:ascii="Verdana" w:eastAsia="Calibri" w:hAnsi="Verdana" w:cs="Times New Roman"/>
        </w:rPr>
        <w:t>находище „</w:t>
      </w:r>
      <w:r w:rsidRPr="007E3BD9">
        <w:rPr>
          <w:rFonts w:ascii="Verdana" w:eastAsia="Calibri" w:hAnsi="Verdana" w:cs="Times New Roman"/>
          <w:bCs/>
        </w:rPr>
        <w:t xml:space="preserve">Добри дол", концесионер „Добив и експлоатация АБО" ООД, гр. Пловдив, разположено в землището на с. Септемврийци, общ. Димово, </w:t>
      </w:r>
      <w:proofErr w:type="spellStart"/>
      <w:r w:rsidRPr="007E3BD9">
        <w:rPr>
          <w:rFonts w:ascii="Verdana" w:eastAsia="Calibri" w:hAnsi="Verdana" w:cs="Times New Roman"/>
          <w:bCs/>
        </w:rPr>
        <w:t>обл</w:t>
      </w:r>
      <w:proofErr w:type="spellEnd"/>
      <w:r w:rsidRPr="007E3BD9">
        <w:rPr>
          <w:rFonts w:ascii="Verdana" w:eastAsia="Calibri" w:hAnsi="Verdana" w:cs="Times New Roman"/>
          <w:bCs/>
        </w:rPr>
        <w:t>. Видин;</w:t>
      </w:r>
    </w:p>
    <w:p w:rsidR="00E11EC3" w:rsidRPr="007E3BD9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E3BD9">
        <w:rPr>
          <w:rFonts w:ascii="Verdana" w:eastAsia="Calibri" w:hAnsi="Verdana" w:cs="Times New Roman"/>
        </w:rPr>
        <w:t>находище „Благов камък", концесионер „БДС" ЕООД, гр. София, р</w:t>
      </w:r>
      <w:r w:rsidRPr="007E3BD9">
        <w:rPr>
          <w:rFonts w:ascii="Verdana" w:eastAsia="Times New Roman" w:hAnsi="Verdana" w:cs="Times New Roman"/>
        </w:rPr>
        <w:t xml:space="preserve">азположено на територията на община Бобошево, </w:t>
      </w:r>
      <w:proofErr w:type="spellStart"/>
      <w:r w:rsidRPr="007E3BD9">
        <w:rPr>
          <w:rFonts w:ascii="Verdana" w:eastAsia="Times New Roman" w:hAnsi="Verdana" w:cs="Times New Roman"/>
        </w:rPr>
        <w:t>обл</w:t>
      </w:r>
      <w:proofErr w:type="spellEnd"/>
      <w:r w:rsidRPr="007E3BD9">
        <w:rPr>
          <w:rFonts w:ascii="Verdana" w:eastAsia="Times New Roman" w:hAnsi="Verdana" w:cs="Times New Roman"/>
        </w:rPr>
        <w:t>. Кюстендил</w:t>
      </w:r>
      <w:r w:rsidRPr="007E3BD9">
        <w:rPr>
          <w:rFonts w:ascii="Verdana" w:eastAsia="Calibri" w:hAnsi="Verdana" w:cs="Times New Roman"/>
        </w:rPr>
        <w:t>;</w:t>
      </w:r>
    </w:p>
    <w:p w:rsidR="00E11EC3" w:rsidRPr="007E3BD9" w:rsidRDefault="00E11EC3" w:rsidP="00AD407E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Verdana" w:eastAsia="Calibri" w:hAnsi="Verdana" w:cs="Times New Roman"/>
        </w:rPr>
      </w:pPr>
      <w:r w:rsidRPr="007E3BD9">
        <w:rPr>
          <w:rFonts w:ascii="Verdana" w:eastAsia="Calibri" w:hAnsi="Verdana" w:cs="Times New Roman"/>
          <w:bCs/>
        </w:rPr>
        <w:t>находище „</w:t>
      </w:r>
      <w:r w:rsidRPr="007E3BD9">
        <w:rPr>
          <w:rFonts w:ascii="Verdana" w:eastAsia="Calibri" w:hAnsi="Verdana" w:cs="Times New Roman"/>
        </w:rPr>
        <w:t xml:space="preserve">Ястребна“, с концесионер "Водно строителство - Силистра” АД, гр.Силистра, разположено на територията на </w:t>
      </w:r>
      <w:r w:rsidRPr="007E3BD9">
        <w:rPr>
          <w:rFonts w:ascii="Verdana" w:eastAsia="Times New Roman" w:hAnsi="Verdana" w:cs="Times New Roman"/>
        </w:rPr>
        <w:t xml:space="preserve">община Ситово, </w:t>
      </w:r>
      <w:proofErr w:type="spellStart"/>
      <w:r w:rsidRPr="007E3BD9">
        <w:rPr>
          <w:rFonts w:ascii="Verdana" w:eastAsia="Times New Roman" w:hAnsi="Verdana" w:cs="Times New Roman"/>
        </w:rPr>
        <w:t>обл</w:t>
      </w:r>
      <w:proofErr w:type="spellEnd"/>
      <w:r w:rsidRPr="007E3BD9">
        <w:rPr>
          <w:rFonts w:ascii="Verdana" w:eastAsia="Times New Roman" w:hAnsi="Verdana" w:cs="Times New Roman"/>
        </w:rPr>
        <w:t>. Силистра.</w:t>
      </w:r>
    </w:p>
    <w:p w:rsidR="00E11EC3" w:rsidRPr="007E3BD9" w:rsidRDefault="00E11EC3" w:rsidP="00AD407E">
      <w:pPr>
        <w:spacing w:after="0" w:line="360" w:lineRule="auto"/>
        <w:ind w:left="23" w:right="23" w:firstLine="720"/>
        <w:jc w:val="both"/>
        <w:rPr>
          <w:rFonts w:ascii="Verdana" w:hAnsi="Verdana"/>
        </w:rPr>
      </w:pPr>
      <w:r w:rsidRPr="007E3BD9">
        <w:rPr>
          <w:rFonts w:ascii="Verdana" w:eastAsia="Arial Unicode MS" w:hAnsi="Verdana"/>
        </w:rPr>
        <w:t xml:space="preserve">Обществената поръчка цели да бъдат извършени </w:t>
      </w:r>
      <w:proofErr w:type="spellStart"/>
      <w:r w:rsidRPr="007E3BD9">
        <w:rPr>
          <w:rFonts w:ascii="Verdana" w:eastAsia="Arial Unicode MS" w:hAnsi="Verdana"/>
        </w:rPr>
        <w:t>маркшайдерски</w:t>
      </w:r>
      <w:proofErr w:type="spellEnd"/>
      <w:r w:rsidRPr="007E3BD9">
        <w:rPr>
          <w:rFonts w:ascii="Verdana" w:eastAsia="Arial Unicode MS" w:hAnsi="Verdana"/>
        </w:rPr>
        <w:t xml:space="preserve"> замери, които да дадат информация за </w:t>
      </w:r>
      <w:r w:rsidRPr="007E3BD9">
        <w:rPr>
          <w:rFonts w:ascii="Verdana" w:hAnsi="Verdana"/>
        </w:rPr>
        <w:t>анализ на получените резултати с водените на отчет данни в Националния баланс на запасите и ресурсите на находища на подземни богатства и тези декларирани от концесионерите в съответните отчети.</w:t>
      </w:r>
    </w:p>
    <w:p w:rsidR="00E11EC3" w:rsidRPr="007E3BD9" w:rsidRDefault="00E11EC3" w:rsidP="00AD407E">
      <w:pPr>
        <w:spacing w:after="0" w:line="360" w:lineRule="auto"/>
        <w:ind w:left="23" w:right="23" w:firstLine="720"/>
        <w:jc w:val="both"/>
        <w:rPr>
          <w:rFonts w:ascii="Verdana" w:eastAsia="Arial Unicode MS" w:hAnsi="Verdana"/>
        </w:rPr>
      </w:pPr>
      <w:r w:rsidRPr="007E3BD9">
        <w:rPr>
          <w:rFonts w:ascii="Verdana" w:hAnsi="Verdana"/>
        </w:rPr>
        <w:t xml:space="preserve">С извършването на </w:t>
      </w:r>
      <w:proofErr w:type="spellStart"/>
      <w:r w:rsidRPr="007E3BD9">
        <w:rPr>
          <w:rFonts w:ascii="Verdana" w:eastAsia="Arial Unicode MS" w:hAnsi="Verdana"/>
        </w:rPr>
        <w:t>маркшайдерските</w:t>
      </w:r>
      <w:proofErr w:type="spellEnd"/>
      <w:r w:rsidRPr="007E3BD9">
        <w:rPr>
          <w:rFonts w:ascii="Verdana" w:eastAsia="Arial Unicode MS" w:hAnsi="Verdana"/>
        </w:rPr>
        <w:t xml:space="preserve"> замери ще се допълни графичната информация относно недобитото количество от съответното подземно богатство, неговото пространствено разположение, фактическото състояние на повърхността в района на предоставената концесионна площ, изградените </w:t>
      </w:r>
      <w:proofErr w:type="spellStart"/>
      <w:r w:rsidRPr="007E3BD9">
        <w:rPr>
          <w:rFonts w:ascii="Verdana" w:eastAsia="Arial Unicode MS" w:hAnsi="Verdana"/>
        </w:rPr>
        <w:t>насипища</w:t>
      </w:r>
      <w:proofErr w:type="spellEnd"/>
      <w:r w:rsidRPr="007E3BD9">
        <w:rPr>
          <w:rFonts w:ascii="Verdana" w:eastAsia="Arial Unicode MS" w:hAnsi="Verdana"/>
        </w:rPr>
        <w:t>, пътища и т.н.</w:t>
      </w:r>
    </w:p>
    <w:p w:rsidR="00E11EC3" w:rsidRPr="007E3BD9" w:rsidRDefault="00E11EC3" w:rsidP="00AD407E">
      <w:pPr>
        <w:spacing w:after="0" w:line="360" w:lineRule="auto"/>
        <w:ind w:left="23" w:right="23" w:firstLine="720"/>
        <w:jc w:val="both"/>
        <w:rPr>
          <w:rFonts w:ascii="Verdana" w:eastAsia="Arial Unicode MS" w:hAnsi="Verdana"/>
        </w:rPr>
      </w:pPr>
      <w:r w:rsidRPr="007E3BD9">
        <w:rPr>
          <w:rFonts w:ascii="Verdana" w:eastAsia="Arial Unicode MS" w:hAnsi="Verdana"/>
        </w:rPr>
        <w:t xml:space="preserve">С провеждането на обществената поръчка ще се </w:t>
      </w:r>
      <w:proofErr w:type="spellStart"/>
      <w:r w:rsidRPr="007E3BD9">
        <w:rPr>
          <w:rFonts w:ascii="Verdana" w:eastAsia="Arial Unicode MS" w:hAnsi="Verdana"/>
        </w:rPr>
        <w:t>дигитализира</w:t>
      </w:r>
      <w:proofErr w:type="spellEnd"/>
      <w:r w:rsidRPr="007E3BD9">
        <w:rPr>
          <w:rFonts w:ascii="Verdana" w:eastAsia="Arial Unicode MS" w:hAnsi="Verdana"/>
        </w:rPr>
        <w:t xml:space="preserve"> наличната графична информация за количеството на запасите и ресурсите, ще се повиши </w:t>
      </w:r>
      <w:r w:rsidRPr="007E3BD9">
        <w:rPr>
          <w:rFonts w:ascii="Verdana" w:eastAsia="Arial Unicode MS" w:hAnsi="Verdana"/>
        </w:rPr>
        <w:lastRenderedPageBreak/>
        <w:t>контрола по изпълнение на Годишните и Цялостни работни проекти за добив и първична преработка.</w:t>
      </w:r>
    </w:p>
    <w:p w:rsidR="00E11EC3" w:rsidRPr="007E3BD9" w:rsidRDefault="00E11EC3" w:rsidP="00AD407E">
      <w:pPr>
        <w:tabs>
          <w:tab w:val="num" w:pos="426"/>
          <w:tab w:val="num" w:pos="1134"/>
        </w:tabs>
        <w:spacing w:after="0" w:line="360" w:lineRule="auto"/>
        <w:ind w:left="23" w:right="23" w:firstLine="720"/>
        <w:jc w:val="both"/>
        <w:rPr>
          <w:rFonts w:ascii="Verdana" w:hAnsi="Verdana"/>
          <w:color w:val="000000" w:themeColor="text1"/>
        </w:rPr>
      </w:pPr>
      <w:r w:rsidRPr="007E3BD9">
        <w:rPr>
          <w:rFonts w:ascii="Verdana" w:hAnsi="Verdana"/>
          <w:color w:val="000000" w:themeColor="text1"/>
        </w:rPr>
        <w:t>С настоящата обществена поръчка е необходимо да бъдат постигнати следните резултати:</w:t>
      </w:r>
    </w:p>
    <w:p w:rsidR="00E11EC3" w:rsidRPr="007E3BD9" w:rsidRDefault="00E11EC3" w:rsidP="00AD407E">
      <w:pPr>
        <w:pStyle w:val="ListParagraph"/>
        <w:numPr>
          <w:ilvl w:val="0"/>
          <w:numId w:val="10"/>
        </w:numPr>
        <w:tabs>
          <w:tab w:val="clear" w:pos="1211"/>
          <w:tab w:val="num" w:pos="0"/>
          <w:tab w:val="num" w:pos="426"/>
        </w:tabs>
        <w:autoSpaceDE w:val="0"/>
        <w:autoSpaceDN w:val="0"/>
        <w:adjustRightInd w:val="0"/>
        <w:spacing w:after="0" w:line="360" w:lineRule="auto"/>
        <w:ind w:left="0" w:right="23" w:firstLine="0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създаване на модел на повърхността на концесионната площ, предоставена за добив на подземни богатства към датата на сключване на съответния концесионен договор и към датата на извършване на контролния </w:t>
      </w:r>
      <w:proofErr w:type="spellStart"/>
      <w:r w:rsidRPr="007E3BD9">
        <w:rPr>
          <w:rFonts w:ascii="Verdana" w:eastAsia="Times New Roman" w:hAnsi="Verdana" w:cs="Times New Roman"/>
        </w:rPr>
        <w:t>замер</w:t>
      </w:r>
      <w:proofErr w:type="spellEnd"/>
      <w:r w:rsidRPr="007E3BD9">
        <w:rPr>
          <w:rFonts w:ascii="Verdana" w:eastAsia="Times New Roman" w:hAnsi="Verdana" w:cs="Times New Roman"/>
        </w:rPr>
        <w:t>;</w:t>
      </w:r>
    </w:p>
    <w:p w:rsidR="00E11EC3" w:rsidRPr="007E3BD9" w:rsidRDefault="00E11EC3" w:rsidP="00AD407E">
      <w:pPr>
        <w:pStyle w:val="ListParagraph"/>
        <w:numPr>
          <w:ilvl w:val="0"/>
          <w:numId w:val="10"/>
        </w:numPr>
        <w:tabs>
          <w:tab w:val="clear" w:pos="1211"/>
          <w:tab w:val="num" w:pos="0"/>
          <w:tab w:val="num" w:pos="426"/>
        </w:tabs>
        <w:autoSpaceDE w:val="0"/>
        <w:autoSpaceDN w:val="0"/>
        <w:adjustRightInd w:val="0"/>
        <w:spacing w:after="0" w:line="360" w:lineRule="auto"/>
        <w:ind w:left="0" w:right="23" w:firstLine="0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създаване на модел на находището, обект на концесия, към датата на сключване на концесионния договор и към датата на извършване на контролния </w:t>
      </w:r>
      <w:proofErr w:type="spellStart"/>
      <w:r w:rsidRPr="007E3BD9">
        <w:rPr>
          <w:rFonts w:ascii="Verdana" w:eastAsia="Times New Roman" w:hAnsi="Verdana" w:cs="Times New Roman"/>
        </w:rPr>
        <w:t>замер</w:t>
      </w:r>
      <w:proofErr w:type="spellEnd"/>
      <w:r w:rsidRPr="007E3BD9">
        <w:rPr>
          <w:rFonts w:ascii="Verdana" w:eastAsia="Times New Roman" w:hAnsi="Verdana" w:cs="Times New Roman"/>
        </w:rPr>
        <w:t>;</w:t>
      </w:r>
    </w:p>
    <w:p w:rsidR="00E11EC3" w:rsidRPr="007E3BD9" w:rsidRDefault="00E11EC3" w:rsidP="00AD407E">
      <w:pPr>
        <w:pStyle w:val="ListParagraph"/>
        <w:numPr>
          <w:ilvl w:val="0"/>
          <w:numId w:val="10"/>
        </w:numPr>
        <w:tabs>
          <w:tab w:val="clear" w:pos="1211"/>
          <w:tab w:val="num" w:pos="0"/>
          <w:tab w:val="num" w:pos="426"/>
        </w:tabs>
        <w:autoSpaceDE w:val="0"/>
        <w:autoSpaceDN w:val="0"/>
        <w:adjustRightInd w:val="0"/>
        <w:spacing w:after="0" w:line="360" w:lineRule="auto"/>
        <w:ind w:left="0" w:right="23" w:firstLine="0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определяне на наличните количества полезно изкопаемо в границите на находището към датата на сключване на концесионния договор и към датата на контролния </w:t>
      </w:r>
      <w:proofErr w:type="spellStart"/>
      <w:r w:rsidRPr="007E3BD9">
        <w:rPr>
          <w:rFonts w:ascii="Verdana" w:eastAsia="Times New Roman" w:hAnsi="Verdana" w:cs="Times New Roman"/>
        </w:rPr>
        <w:t>замер</w:t>
      </w:r>
      <w:proofErr w:type="spellEnd"/>
      <w:r w:rsidRPr="007E3BD9">
        <w:rPr>
          <w:rFonts w:ascii="Verdana" w:eastAsia="Times New Roman" w:hAnsi="Verdana" w:cs="Times New Roman"/>
        </w:rPr>
        <w:t>;</w:t>
      </w:r>
    </w:p>
    <w:p w:rsidR="00E11EC3" w:rsidRPr="007E3BD9" w:rsidRDefault="00E11EC3" w:rsidP="00AD407E">
      <w:pPr>
        <w:pStyle w:val="ListParagraph"/>
        <w:numPr>
          <w:ilvl w:val="0"/>
          <w:numId w:val="10"/>
        </w:numPr>
        <w:tabs>
          <w:tab w:val="clear" w:pos="1211"/>
          <w:tab w:val="num" w:pos="0"/>
          <w:tab w:val="num" w:pos="426"/>
        </w:tabs>
        <w:autoSpaceDE w:val="0"/>
        <w:autoSpaceDN w:val="0"/>
        <w:adjustRightInd w:val="0"/>
        <w:spacing w:after="0" w:line="360" w:lineRule="auto"/>
        <w:ind w:left="0" w:right="23" w:firstLine="0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определяне на иззетите (добити) количества полезно изкопаемо в границите на находището и извън него в периода от сключване на концесионния договор до датата на контролния </w:t>
      </w:r>
      <w:proofErr w:type="spellStart"/>
      <w:r w:rsidRPr="007E3BD9">
        <w:rPr>
          <w:rFonts w:ascii="Verdana" w:eastAsia="Times New Roman" w:hAnsi="Verdana" w:cs="Times New Roman"/>
        </w:rPr>
        <w:t>замер</w:t>
      </w:r>
      <w:proofErr w:type="spellEnd"/>
      <w:r w:rsidRPr="007E3BD9">
        <w:rPr>
          <w:rFonts w:ascii="Verdana" w:eastAsia="Times New Roman" w:hAnsi="Verdana" w:cs="Times New Roman"/>
        </w:rPr>
        <w:t>;</w:t>
      </w:r>
    </w:p>
    <w:p w:rsidR="00E11EC3" w:rsidRDefault="00E11EC3" w:rsidP="00AD407E">
      <w:pPr>
        <w:pStyle w:val="ListParagraph"/>
        <w:numPr>
          <w:ilvl w:val="0"/>
          <w:numId w:val="10"/>
        </w:numPr>
        <w:tabs>
          <w:tab w:val="clear" w:pos="1211"/>
          <w:tab w:val="num" w:pos="0"/>
          <w:tab w:val="num" w:pos="426"/>
        </w:tabs>
        <w:autoSpaceDE w:val="0"/>
        <w:autoSpaceDN w:val="0"/>
        <w:adjustRightInd w:val="0"/>
        <w:spacing w:after="0" w:line="360" w:lineRule="auto"/>
        <w:ind w:left="0" w:right="23" w:firstLine="0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>сравняване и анализ на получените резултати с водените на отчет в Националния баланс на запасите и ресурсите на находища на подземни богатства, с предоставените данни от концесионерите и др.</w:t>
      </w:r>
    </w:p>
    <w:p w:rsidR="00A21AD5" w:rsidRPr="007E3BD9" w:rsidRDefault="00A21AD5" w:rsidP="00A21AD5">
      <w:pPr>
        <w:pStyle w:val="ListParagraph"/>
        <w:tabs>
          <w:tab w:val="num" w:pos="1211"/>
        </w:tabs>
        <w:autoSpaceDE w:val="0"/>
        <w:autoSpaceDN w:val="0"/>
        <w:adjustRightInd w:val="0"/>
        <w:spacing w:after="0" w:line="360" w:lineRule="auto"/>
        <w:ind w:left="0" w:right="23"/>
        <w:jc w:val="both"/>
        <w:rPr>
          <w:rFonts w:ascii="Verdana" w:eastAsia="Times New Roman" w:hAnsi="Verdana" w:cs="Times New Roman"/>
        </w:rPr>
      </w:pPr>
    </w:p>
    <w:p w:rsidR="00E11EC3" w:rsidRPr="007E3BD9" w:rsidRDefault="00ED4680" w:rsidP="00AD407E">
      <w:pPr>
        <w:pStyle w:val="NoSpacing"/>
        <w:spacing w:line="360" w:lineRule="auto"/>
        <w:jc w:val="both"/>
        <w:rPr>
          <w:rFonts w:ascii="Verdana" w:hAnsi="Verdana"/>
          <w:b/>
          <w:strike/>
        </w:rPr>
      </w:pPr>
      <w:r w:rsidRPr="007E3BD9">
        <w:rPr>
          <w:rFonts w:ascii="Verdana" w:hAnsi="Verdana"/>
          <w:b/>
        </w:rPr>
        <w:t xml:space="preserve">2. Изисквания за изпълнение на поръчката </w:t>
      </w:r>
    </w:p>
    <w:p w:rsidR="00E11EC3" w:rsidRPr="007E3BD9" w:rsidRDefault="00E11EC3" w:rsidP="00AD407E">
      <w:pPr>
        <w:pStyle w:val="NoSpacing"/>
        <w:spacing w:line="360" w:lineRule="auto"/>
        <w:ind w:firstLine="709"/>
        <w:jc w:val="both"/>
        <w:rPr>
          <w:rFonts w:ascii="Verdana" w:hAnsi="Verdana"/>
        </w:rPr>
      </w:pPr>
      <w:r w:rsidRPr="007E3BD9">
        <w:rPr>
          <w:rFonts w:ascii="Verdana" w:hAnsi="Verdana"/>
        </w:rPr>
        <w:t xml:space="preserve">Изпълнението на настоящата обществена поръчка включва </w:t>
      </w:r>
      <w:r w:rsidRPr="007E3BD9">
        <w:rPr>
          <w:rFonts w:ascii="Verdana" w:eastAsia="Times New Roman" w:hAnsi="Verdana" w:cs="Times New Roman"/>
        </w:rPr>
        <w:t xml:space="preserve">извършване на </w:t>
      </w:r>
      <w:proofErr w:type="spellStart"/>
      <w:r w:rsidRPr="007E3BD9">
        <w:rPr>
          <w:rFonts w:ascii="Verdana" w:eastAsia="Times New Roman" w:hAnsi="Verdana" w:cs="Times New Roman"/>
        </w:rPr>
        <w:t>маркшайдерски</w:t>
      </w:r>
      <w:proofErr w:type="spellEnd"/>
      <w:r w:rsidRPr="007E3BD9">
        <w:rPr>
          <w:rFonts w:ascii="Verdana" w:eastAsia="Times New Roman" w:hAnsi="Verdana" w:cs="Times New Roman"/>
        </w:rPr>
        <w:t xml:space="preserve"> измервания на 15 (петнадесет) броя находища, посочени по – горе, разположени на територията на Република България,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</w:t>
      </w:r>
      <w:r w:rsidRPr="007E3BD9">
        <w:rPr>
          <w:rFonts w:ascii="Verdana" w:hAnsi="Verdana"/>
        </w:rPr>
        <w:t xml:space="preserve">. </w:t>
      </w:r>
    </w:p>
    <w:p w:rsidR="00E11EC3" w:rsidRPr="007E3BD9" w:rsidRDefault="00E11EC3" w:rsidP="00AD407E">
      <w:pPr>
        <w:pStyle w:val="NoSpacing"/>
        <w:spacing w:line="360" w:lineRule="auto"/>
        <w:ind w:firstLine="709"/>
        <w:jc w:val="both"/>
        <w:rPr>
          <w:rFonts w:ascii="Verdana" w:hAnsi="Verdana"/>
        </w:rPr>
      </w:pPr>
      <w:r w:rsidRPr="007E3BD9">
        <w:rPr>
          <w:rFonts w:ascii="Verdana" w:hAnsi="Verdana"/>
        </w:rPr>
        <w:t>При изпълнението на настоящата обществена поръчка трябва да се извърши поотделно за всяко едно от 15 –те находища, следното:</w:t>
      </w:r>
    </w:p>
    <w:p w:rsidR="00E11EC3" w:rsidRPr="007E3BD9" w:rsidRDefault="00E11EC3" w:rsidP="00AD407E">
      <w:pPr>
        <w:pStyle w:val="NoSpacing"/>
        <w:numPr>
          <w:ilvl w:val="0"/>
          <w:numId w:val="12"/>
        </w:numPr>
        <w:spacing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 xml:space="preserve">анализ на съществуващата </w:t>
      </w:r>
      <w:proofErr w:type="spellStart"/>
      <w:r w:rsidRPr="007E3BD9">
        <w:rPr>
          <w:rFonts w:ascii="Verdana" w:eastAsia="Times New Roman" w:hAnsi="Verdana" w:cs="Times New Roman"/>
          <w:lang w:eastAsia="bg-BG"/>
        </w:rPr>
        <w:t>маркшайдерска</w:t>
      </w:r>
      <w:proofErr w:type="spellEnd"/>
      <w:r w:rsidRPr="007E3BD9">
        <w:rPr>
          <w:rFonts w:ascii="Verdana" w:eastAsia="Times New Roman" w:hAnsi="Verdana" w:cs="Times New Roman"/>
          <w:lang w:eastAsia="bg-BG"/>
        </w:rPr>
        <w:t xml:space="preserve"> документация;</w:t>
      </w:r>
    </w:p>
    <w:p w:rsidR="00E11EC3" w:rsidRPr="007E3BD9" w:rsidRDefault="00E11EC3" w:rsidP="00AD407E">
      <w:pPr>
        <w:pStyle w:val="ListParagraph"/>
        <w:numPr>
          <w:ilvl w:val="0"/>
          <w:numId w:val="12"/>
        </w:numPr>
        <w:tabs>
          <w:tab w:val="left" w:pos="720"/>
          <w:tab w:val="left" w:pos="1080"/>
        </w:tabs>
        <w:spacing w:after="0"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>анализ на опорната мрежа и работната основа на обекта;</w:t>
      </w:r>
    </w:p>
    <w:p w:rsidR="00E11EC3" w:rsidRPr="007E3BD9" w:rsidRDefault="00E11EC3" w:rsidP="00AD407E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lastRenderedPageBreak/>
        <w:t>контролни измервания за определяне на фактическото положение на минните изработки или</w:t>
      </w:r>
      <w:r w:rsidRPr="007E3BD9">
        <w:rPr>
          <w:rFonts w:ascii="Verdana" w:eastAsia="Times New Roman" w:hAnsi="Verdana" w:cs="Verdana"/>
          <w:lang w:eastAsia="bg-BG"/>
        </w:rPr>
        <w:t xml:space="preserve"> параметрите на открития рудник или кариера</w:t>
      </w:r>
      <w:r w:rsidRPr="007E3BD9">
        <w:rPr>
          <w:rFonts w:ascii="Verdana" w:eastAsia="Times New Roman" w:hAnsi="Verdana" w:cs="Verdana"/>
          <w:lang w:val="ru-RU" w:eastAsia="bg-BG"/>
        </w:rPr>
        <w:t xml:space="preserve"> (</w:t>
      </w:r>
      <w:r w:rsidRPr="007E3BD9">
        <w:rPr>
          <w:rFonts w:ascii="Verdana" w:eastAsia="Times New Roman" w:hAnsi="Verdana" w:cs="Times New Roman"/>
          <w:lang w:eastAsia="bg-BG"/>
        </w:rPr>
        <w:t>генерални бордови ъгли по четирите географски посоки и височина на бордовете</w:t>
      </w:r>
      <w:r w:rsidRPr="007E3BD9">
        <w:rPr>
          <w:rFonts w:ascii="Verdana" w:eastAsia="Times New Roman" w:hAnsi="Verdana" w:cs="Times New Roman"/>
          <w:lang w:val="ru-RU" w:eastAsia="bg-BG"/>
        </w:rPr>
        <w:t xml:space="preserve"> и др.</w:t>
      </w:r>
      <w:r w:rsidRPr="007E3BD9">
        <w:rPr>
          <w:rFonts w:ascii="Verdana" w:eastAsia="Times New Roman" w:hAnsi="Verdana" w:cs="Verdana"/>
          <w:lang w:val="ru-RU" w:eastAsia="bg-BG"/>
        </w:rPr>
        <w:t>)</w:t>
      </w:r>
      <w:r w:rsidRPr="007E3BD9">
        <w:rPr>
          <w:rFonts w:ascii="Verdana" w:eastAsia="Times New Roman" w:hAnsi="Verdana" w:cs="Verdana"/>
          <w:lang w:eastAsia="bg-BG"/>
        </w:rPr>
        <w:t xml:space="preserve"> спрямо</w:t>
      </w:r>
      <w:r w:rsidRPr="007E3BD9">
        <w:rPr>
          <w:rFonts w:ascii="Verdana" w:eastAsia="Times New Roman" w:hAnsi="Verdana" w:cs="Times New Roman"/>
          <w:lang w:eastAsia="bg-BG"/>
        </w:rPr>
        <w:t xml:space="preserve"> инженерната инфраструктура (пътища, депа, отвали и др.);</w:t>
      </w:r>
    </w:p>
    <w:p w:rsidR="00E11EC3" w:rsidRPr="007E3BD9" w:rsidRDefault="00E11EC3" w:rsidP="00AD407E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 xml:space="preserve">обработване и анализи на резултатите от измерванията; </w:t>
      </w:r>
    </w:p>
    <w:p w:rsidR="00E11EC3" w:rsidRPr="007E3BD9" w:rsidRDefault="00E11EC3" w:rsidP="00AD407E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color w:val="FF0000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>създаване на цифрови модели на обектите;</w:t>
      </w:r>
    </w:p>
    <w:p w:rsidR="00E11EC3" w:rsidRPr="007E3BD9" w:rsidRDefault="00E11EC3" w:rsidP="00AD407E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>определяне и сравняване на фактическите измерените параметри на минния обект с проектните за 2018 г.;</w:t>
      </w:r>
    </w:p>
    <w:p w:rsidR="00E11EC3" w:rsidRPr="007E3BD9" w:rsidRDefault="00E11EC3" w:rsidP="00AD407E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 xml:space="preserve">анализ на </w:t>
      </w:r>
      <w:r w:rsidRPr="007E3BD9">
        <w:rPr>
          <w:rFonts w:ascii="Verdana" w:eastAsia="Times New Roman" w:hAnsi="Verdana" w:cs="Verdana"/>
          <w:lang w:eastAsia="bg-BG"/>
        </w:rPr>
        <w:t>взаимно положение на контура</w:t>
      </w:r>
      <w:r w:rsidRPr="007E3BD9">
        <w:rPr>
          <w:rFonts w:ascii="Verdana" w:eastAsia="Times New Roman" w:hAnsi="Verdana" w:cs="Verdana"/>
          <w:lang w:val="ru-RU" w:eastAsia="bg-BG"/>
        </w:rPr>
        <w:t xml:space="preserve"> </w:t>
      </w:r>
      <w:r w:rsidRPr="007E3BD9">
        <w:rPr>
          <w:rFonts w:ascii="Verdana" w:eastAsia="Times New Roman" w:hAnsi="Verdana" w:cs="Verdana"/>
          <w:lang w:eastAsia="bg-BG"/>
        </w:rPr>
        <w:t>на находището и концесионната площ</w:t>
      </w:r>
      <w:r w:rsidRPr="007E3BD9">
        <w:rPr>
          <w:rFonts w:ascii="Verdana" w:eastAsia="Times New Roman" w:hAnsi="Verdana" w:cs="Times New Roman"/>
          <w:lang w:eastAsia="bg-BG"/>
        </w:rPr>
        <w:t>;</w:t>
      </w:r>
    </w:p>
    <w:p w:rsidR="00E11EC3" w:rsidRPr="007E3BD9" w:rsidRDefault="00E11EC3" w:rsidP="00AD407E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 xml:space="preserve">изчисляване и анализ на обемите добита минна маса и полезно изкопаемо в границите на находището (утвърдените запаси и/или ресурси), кариерата,  участъка, концесионната площ, от началото на концесионния договор до датата на контролното </w:t>
      </w:r>
      <w:proofErr w:type="spellStart"/>
      <w:r w:rsidRPr="007E3BD9">
        <w:rPr>
          <w:rFonts w:ascii="Verdana" w:eastAsia="Times New Roman" w:hAnsi="Verdana" w:cs="Times New Roman"/>
          <w:lang w:eastAsia="bg-BG"/>
        </w:rPr>
        <w:t>маркшайдерско</w:t>
      </w:r>
      <w:proofErr w:type="spellEnd"/>
      <w:r w:rsidRPr="007E3BD9">
        <w:rPr>
          <w:rFonts w:ascii="Verdana" w:eastAsia="Times New Roman" w:hAnsi="Verdana" w:cs="Times New Roman"/>
          <w:lang w:eastAsia="bg-BG"/>
        </w:rPr>
        <w:t xml:space="preserve"> заснемане; </w:t>
      </w:r>
    </w:p>
    <w:p w:rsidR="00E11EC3" w:rsidRPr="007E3BD9" w:rsidRDefault="00E11EC3" w:rsidP="00AD407E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 xml:space="preserve">определяне на обема на иззета </w:t>
      </w:r>
      <w:proofErr w:type="spellStart"/>
      <w:r w:rsidRPr="007E3BD9">
        <w:rPr>
          <w:rFonts w:ascii="Verdana" w:eastAsia="Times New Roman" w:hAnsi="Verdana" w:cs="Times New Roman"/>
          <w:lang w:eastAsia="bg-BG"/>
        </w:rPr>
        <w:t>разкривка</w:t>
      </w:r>
      <w:proofErr w:type="spellEnd"/>
      <w:r w:rsidRPr="007E3BD9">
        <w:rPr>
          <w:rFonts w:ascii="Verdana" w:eastAsia="Times New Roman" w:hAnsi="Verdana" w:cs="Times New Roman"/>
          <w:lang w:eastAsia="bg-BG"/>
        </w:rPr>
        <w:t xml:space="preserve"> извън плановите граници на находището – масива между външният контур на находището и границата на концесионната площ;</w:t>
      </w:r>
    </w:p>
    <w:p w:rsidR="00E11EC3" w:rsidRPr="007E3BD9" w:rsidRDefault="00E11EC3" w:rsidP="00AD407E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>размер на нарушените площи – общо и по изработки (</w:t>
      </w:r>
      <w:proofErr w:type="spellStart"/>
      <w:r w:rsidRPr="007E3BD9">
        <w:rPr>
          <w:rFonts w:ascii="Verdana" w:eastAsia="Times New Roman" w:hAnsi="Verdana" w:cs="Times New Roman"/>
          <w:lang w:eastAsia="bg-BG"/>
        </w:rPr>
        <w:t>котлован</w:t>
      </w:r>
      <w:proofErr w:type="spellEnd"/>
      <w:r w:rsidRPr="007E3BD9">
        <w:rPr>
          <w:rFonts w:ascii="Verdana" w:eastAsia="Times New Roman" w:hAnsi="Verdana" w:cs="Times New Roman"/>
          <w:lang w:eastAsia="bg-BG"/>
        </w:rPr>
        <w:t xml:space="preserve">, табани, </w:t>
      </w:r>
      <w:proofErr w:type="spellStart"/>
      <w:r w:rsidRPr="007E3BD9">
        <w:rPr>
          <w:rFonts w:ascii="Verdana" w:eastAsia="Times New Roman" w:hAnsi="Verdana" w:cs="Times New Roman"/>
          <w:lang w:eastAsia="bg-BG"/>
        </w:rPr>
        <w:t>хвостохранилища</w:t>
      </w:r>
      <w:proofErr w:type="spellEnd"/>
      <w:r w:rsidRPr="007E3BD9">
        <w:rPr>
          <w:rFonts w:ascii="Verdana" w:eastAsia="Times New Roman" w:hAnsi="Verdana" w:cs="Times New Roman"/>
          <w:lang w:eastAsia="bg-BG"/>
        </w:rPr>
        <w:t xml:space="preserve"> и др.);</w:t>
      </w:r>
    </w:p>
    <w:p w:rsidR="00E11EC3" w:rsidRPr="007E3BD9" w:rsidRDefault="00E11EC3" w:rsidP="00AD407E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 xml:space="preserve">размер на </w:t>
      </w:r>
      <w:proofErr w:type="spellStart"/>
      <w:r w:rsidRPr="007E3BD9">
        <w:rPr>
          <w:rFonts w:ascii="Verdana" w:eastAsia="Times New Roman" w:hAnsi="Verdana" w:cs="Times New Roman"/>
          <w:lang w:eastAsia="bg-BG"/>
        </w:rPr>
        <w:t>рекултивирани</w:t>
      </w:r>
      <w:proofErr w:type="spellEnd"/>
      <w:r w:rsidRPr="007E3BD9">
        <w:rPr>
          <w:rFonts w:ascii="Verdana" w:eastAsia="Times New Roman" w:hAnsi="Verdana" w:cs="Times New Roman"/>
          <w:lang w:eastAsia="bg-BG"/>
        </w:rPr>
        <w:t xml:space="preserve"> площи ако има такива;</w:t>
      </w:r>
    </w:p>
    <w:p w:rsidR="00E11EC3" w:rsidRDefault="00E11EC3" w:rsidP="00AD407E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lang w:eastAsia="bg-BG"/>
        </w:rPr>
      </w:pPr>
      <w:r w:rsidRPr="007E3BD9">
        <w:rPr>
          <w:rFonts w:ascii="Verdana" w:eastAsia="Times New Roman" w:hAnsi="Verdana" w:cs="Times New Roman"/>
          <w:lang w:eastAsia="bg-BG"/>
        </w:rPr>
        <w:t xml:space="preserve">изработване на графична документация (планове на повърхността на обекта, на отделни проучвателни или </w:t>
      </w:r>
      <w:proofErr w:type="spellStart"/>
      <w:r w:rsidRPr="007E3BD9">
        <w:rPr>
          <w:rFonts w:ascii="Verdana" w:eastAsia="Times New Roman" w:hAnsi="Verdana" w:cs="Times New Roman"/>
          <w:lang w:eastAsia="bg-BG"/>
        </w:rPr>
        <w:t>добивни</w:t>
      </w:r>
      <w:proofErr w:type="spellEnd"/>
      <w:r w:rsidRPr="007E3BD9">
        <w:rPr>
          <w:rFonts w:ascii="Verdana" w:eastAsia="Times New Roman" w:hAnsi="Verdana" w:cs="Times New Roman"/>
          <w:lang w:eastAsia="bg-BG"/>
        </w:rPr>
        <w:t xml:space="preserve"> хоризонти; на вертикални разрези и др. графични материали) въз основа на контролните измервания.</w:t>
      </w:r>
    </w:p>
    <w:p w:rsidR="00A21AD5" w:rsidRPr="007E3BD9" w:rsidRDefault="00A21AD5" w:rsidP="00A21AD5">
      <w:pPr>
        <w:pStyle w:val="ListParagraph"/>
        <w:spacing w:after="0" w:line="360" w:lineRule="auto"/>
        <w:ind w:left="0"/>
        <w:jc w:val="both"/>
        <w:rPr>
          <w:rFonts w:ascii="Verdana" w:eastAsia="Times New Roman" w:hAnsi="Verdana" w:cs="Times New Roman"/>
          <w:lang w:eastAsia="bg-BG"/>
        </w:rPr>
      </w:pPr>
    </w:p>
    <w:p w:rsidR="00E11EC3" w:rsidRPr="007E3BD9" w:rsidRDefault="00ED4680" w:rsidP="00AD407E">
      <w:pPr>
        <w:pStyle w:val="NoSpacing"/>
        <w:numPr>
          <w:ilvl w:val="0"/>
          <w:numId w:val="13"/>
        </w:numPr>
        <w:spacing w:line="360" w:lineRule="auto"/>
        <w:jc w:val="both"/>
        <w:rPr>
          <w:rFonts w:ascii="Verdana" w:hAnsi="Verdana"/>
          <w:b/>
          <w:color w:val="000000" w:themeColor="text1"/>
        </w:rPr>
      </w:pPr>
      <w:r w:rsidRPr="007E3BD9">
        <w:rPr>
          <w:rFonts w:ascii="Verdana" w:hAnsi="Verdana"/>
          <w:b/>
          <w:color w:val="000000" w:themeColor="text1"/>
        </w:rPr>
        <w:t>Очаквани резултати</w:t>
      </w:r>
    </w:p>
    <w:p w:rsidR="00E11EC3" w:rsidRPr="007E3BD9" w:rsidRDefault="00E11EC3" w:rsidP="00AD407E">
      <w:pPr>
        <w:widowControl w:val="0"/>
        <w:suppressAutoHyphens/>
        <w:autoSpaceDE w:val="0"/>
        <w:spacing w:after="0" w:line="360" w:lineRule="auto"/>
        <w:ind w:firstLine="567"/>
        <w:jc w:val="both"/>
        <w:rPr>
          <w:rFonts w:ascii="Verdana" w:eastAsia="TimesNewRoman" w:hAnsi="Verdana" w:cs="TimesNewRoman"/>
          <w:bCs/>
          <w:lang w:val="ru-RU" w:eastAsia="ar-SA"/>
        </w:rPr>
      </w:pPr>
      <w:r w:rsidRPr="007E3BD9">
        <w:rPr>
          <w:rFonts w:ascii="Verdana" w:eastAsia="Times New Roman" w:hAnsi="Verdana" w:cs="Times New Roman"/>
        </w:rPr>
        <w:t xml:space="preserve">  </w:t>
      </w:r>
      <w:r w:rsidRPr="007E3BD9">
        <w:rPr>
          <w:rFonts w:ascii="Verdana" w:eastAsia="TimesNewRoman" w:hAnsi="Verdana" w:cs="TimesNewRoman"/>
          <w:bCs/>
          <w:lang w:eastAsia="ar-SA"/>
        </w:rPr>
        <w:t xml:space="preserve">Осъществяване на контролни измервания за установяване на фактическото състояние на находищата, обект на концесия, във връзка с контролните функции на министъра на енергетиката по Закона за подземните богатства относно изпълнението на концесионните договори за добив на подземни богатства. </w:t>
      </w:r>
    </w:p>
    <w:p w:rsidR="00E11EC3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>Получаване на независима оценка за определяне на наличните количества полезно изкопаемо в границите на находището и концесионната площ; определяне на иззетите (добити) количества полезно изкопаемо в границите на находището и извън него.</w:t>
      </w:r>
    </w:p>
    <w:p w:rsidR="00A21AD5" w:rsidRPr="007E3BD9" w:rsidRDefault="00A21AD5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</w:p>
    <w:p w:rsidR="00E11EC3" w:rsidRPr="007E3BD9" w:rsidRDefault="00E11EC3" w:rsidP="00AD407E">
      <w:pPr>
        <w:pStyle w:val="NoSpacing"/>
        <w:numPr>
          <w:ilvl w:val="0"/>
          <w:numId w:val="13"/>
        </w:numPr>
        <w:spacing w:line="360" w:lineRule="auto"/>
        <w:jc w:val="both"/>
        <w:rPr>
          <w:rFonts w:ascii="Verdana" w:hAnsi="Verdana"/>
          <w:b/>
          <w:color w:val="FF0000"/>
        </w:rPr>
      </w:pPr>
      <w:r w:rsidRPr="007E3BD9">
        <w:rPr>
          <w:rFonts w:ascii="Verdana" w:hAnsi="Verdana"/>
          <w:b/>
          <w:color w:val="000000" w:themeColor="text1"/>
        </w:rPr>
        <w:t xml:space="preserve"> </w:t>
      </w:r>
      <w:r w:rsidR="0057741E" w:rsidRPr="007E3BD9">
        <w:rPr>
          <w:rFonts w:ascii="Verdana" w:hAnsi="Verdana"/>
          <w:b/>
          <w:color w:val="000000" w:themeColor="text1"/>
        </w:rPr>
        <w:t>Нормативна уредба</w:t>
      </w:r>
      <w:r w:rsidRPr="007E3BD9">
        <w:rPr>
          <w:rFonts w:ascii="Verdana" w:hAnsi="Verdana"/>
          <w:b/>
          <w:color w:val="000000" w:themeColor="text1"/>
        </w:rPr>
        <w:t xml:space="preserve"> 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lastRenderedPageBreak/>
        <w:t>При изпълнение предмета на договора, Изпълнителят следва да спазва изискванията на: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ЗАКОН за подземните богатства, </w:t>
      </w:r>
      <w:proofErr w:type="spellStart"/>
      <w:r w:rsidRPr="007E3BD9">
        <w:rPr>
          <w:rFonts w:ascii="Verdana" w:eastAsia="Times New Roman" w:hAnsi="Verdana" w:cs="Times New Roman"/>
        </w:rPr>
        <w:t>Обн</w:t>
      </w:r>
      <w:proofErr w:type="spellEnd"/>
      <w:r w:rsidRPr="007E3BD9">
        <w:rPr>
          <w:rFonts w:ascii="Verdana" w:eastAsia="Times New Roman" w:hAnsi="Verdana" w:cs="Times New Roman"/>
        </w:rPr>
        <w:t>., ДВ, бр. 23 от 12.03.1999 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ЗАКОН ЗА ОПАЗВАНЕ НА ЗЕМЕДЕЛСКИТЕ ЗЕМИ, </w:t>
      </w:r>
      <w:proofErr w:type="spellStart"/>
      <w:r w:rsidRPr="007E3BD9">
        <w:rPr>
          <w:rFonts w:ascii="Verdana" w:eastAsia="Times New Roman" w:hAnsi="Verdana" w:cs="Times New Roman"/>
        </w:rPr>
        <w:t>Обн</w:t>
      </w:r>
      <w:proofErr w:type="spellEnd"/>
      <w:r w:rsidRPr="007E3BD9">
        <w:rPr>
          <w:rFonts w:ascii="Verdana" w:eastAsia="Times New Roman" w:hAnsi="Verdana" w:cs="Times New Roman"/>
        </w:rPr>
        <w:t>. ДВ, бр.35 от 24 Април 1996г.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НАРЕДБА за </w:t>
      </w:r>
      <w:proofErr w:type="spellStart"/>
      <w:r w:rsidRPr="007E3BD9">
        <w:rPr>
          <w:rFonts w:ascii="Verdana" w:eastAsia="Times New Roman" w:hAnsi="Verdana" w:cs="Times New Roman"/>
        </w:rPr>
        <w:t>геолого-техническата</w:t>
      </w:r>
      <w:proofErr w:type="spellEnd"/>
      <w:r w:rsidRPr="007E3BD9">
        <w:rPr>
          <w:rFonts w:ascii="Verdana" w:eastAsia="Times New Roman" w:hAnsi="Verdana" w:cs="Times New Roman"/>
        </w:rPr>
        <w:t xml:space="preserve"> документация на проучвателните и миннодобивните обекти, ПМС № 223 / 1.12.1999 г., ДВ, бр.108 /10.12.1999 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>НАРЕДБА № 18 от 7.01.2000 г. за условията и реда за съгласуване на годишни проек</w:t>
      </w:r>
      <w:r w:rsidR="00DA1D92">
        <w:rPr>
          <w:rFonts w:ascii="Verdana" w:eastAsia="Times New Roman" w:hAnsi="Verdana" w:cs="Times New Roman"/>
        </w:rPr>
        <w:t xml:space="preserve">ти за търсене и/или проучване, </w:t>
      </w:r>
      <w:r w:rsidRPr="007E3BD9">
        <w:rPr>
          <w:rFonts w:ascii="Verdana" w:eastAsia="Times New Roman" w:hAnsi="Verdana" w:cs="Times New Roman"/>
        </w:rPr>
        <w:t>техните изменения и допълнения, ДВ, бр. 6 от 21.01.2000 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>НАРЕДБА за единен регистър и кадастър на разрешенията за търсене и/или проучване, ПМС № 233 / 14.12.1999 г., ДВ, бр. 111 / 21.12.1999 г., изм. ДВ. бр.54 от 4 Юли 2006г.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>НАРЕДБА за изготвянето и воденето на Националния баланс на запасите, Регистъра на откритията и Специализирания кадастър на находищата на подземни богатства, ПМС № 2</w:t>
      </w:r>
      <w:r w:rsidR="00DA1D92">
        <w:rPr>
          <w:rFonts w:ascii="Verdana" w:eastAsia="Times New Roman" w:hAnsi="Verdana" w:cs="Times New Roman"/>
        </w:rPr>
        <w:t>32/14.12.1999 г., ДВ, бр. 111/</w:t>
      </w:r>
      <w:r w:rsidRPr="007E3BD9">
        <w:rPr>
          <w:rFonts w:ascii="Verdana" w:eastAsia="Times New Roman" w:hAnsi="Verdana" w:cs="Times New Roman"/>
        </w:rPr>
        <w:t>21.12.1999 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Техническа инструкция за извършване на измерителните </w:t>
      </w:r>
      <w:proofErr w:type="spellStart"/>
      <w:r w:rsidRPr="007E3BD9">
        <w:rPr>
          <w:rFonts w:ascii="Verdana" w:eastAsia="Times New Roman" w:hAnsi="Verdana" w:cs="Times New Roman"/>
        </w:rPr>
        <w:t>маркшайдерски</w:t>
      </w:r>
      <w:proofErr w:type="spellEnd"/>
      <w:r w:rsidRPr="007E3BD9">
        <w:rPr>
          <w:rFonts w:ascii="Verdana" w:eastAsia="Times New Roman" w:hAnsi="Verdana" w:cs="Times New Roman"/>
        </w:rPr>
        <w:t xml:space="preserve"> работи при проучването, строителството и разработването на находищата на полезните изкопаеми, С. Техника, 1969 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>Инструкция за създаване и поддържане на геодезични мрежи с местно предназначение., С., ГУГКК., 1986 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Единни условни знаци за </w:t>
      </w:r>
      <w:proofErr w:type="spellStart"/>
      <w:r w:rsidRPr="007E3BD9">
        <w:rPr>
          <w:rFonts w:ascii="Verdana" w:eastAsia="Times New Roman" w:hAnsi="Verdana" w:cs="Times New Roman"/>
        </w:rPr>
        <w:t>маркшайдерски</w:t>
      </w:r>
      <w:proofErr w:type="spellEnd"/>
      <w:r w:rsidRPr="007E3BD9">
        <w:rPr>
          <w:rFonts w:ascii="Verdana" w:eastAsia="Times New Roman" w:hAnsi="Verdana" w:cs="Times New Roman"/>
        </w:rPr>
        <w:t xml:space="preserve"> планове на въглищни, рудни, нерудни и нефтени находища в М 1:200, 1:500, 1:1000, 1:2000 и 1:5000., С., 1960 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ПОСТАНОВЛЕНИЕ на МС № 153 ОТ 29 ЮЛИ 2010 Г. за въвеждане на „Българска </w:t>
      </w:r>
      <w:proofErr w:type="spellStart"/>
      <w:r w:rsidRPr="007E3BD9">
        <w:rPr>
          <w:rFonts w:ascii="Verdana" w:eastAsia="Times New Roman" w:hAnsi="Verdana" w:cs="Times New Roman"/>
        </w:rPr>
        <w:t>геодезическа</w:t>
      </w:r>
      <w:proofErr w:type="spellEnd"/>
      <w:r w:rsidRPr="007E3BD9">
        <w:rPr>
          <w:rFonts w:ascii="Verdana" w:eastAsia="Times New Roman" w:hAnsi="Verdana" w:cs="Times New Roman"/>
        </w:rPr>
        <w:t xml:space="preserve"> система 2005“, </w:t>
      </w:r>
      <w:proofErr w:type="spellStart"/>
      <w:r w:rsidRPr="007E3BD9">
        <w:rPr>
          <w:rFonts w:ascii="Verdana" w:eastAsia="Times New Roman" w:hAnsi="Verdana" w:cs="Times New Roman"/>
        </w:rPr>
        <w:t>Обн</w:t>
      </w:r>
      <w:proofErr w:type="spellEnd"/>
      <w:r w:rsidRPr="007E3BD9">
        <w:rPr>
          <w:rFonts w:ascii="Verdana" w:eastAsia="Times New Roman" w:hAnsi="Verdana" w:cs="Times New Roman"/>
        </w:rPr>
        <w:t>., ДВ, бр. 61 от 6 август 2010 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 xml:space="preserve">НАРЕДБА № 2 от 30 юли 2010 г. за ДЕФИНИРАНЕ, РЕАЛИЗАЦИЯ И ПОДДЪРЖАНЕ НА БЪЛГАРСКАТА ГЕОДЕЗИЧЕСКА СИСТЕМА, издадена от Министерството на регионалното развитие и благоустройството и Министерството на отбраната, </w:t>
      </w:r>
      <w:proofErr w:type="spellStart"/>
      <w:r w:rsidRPr="007E3BD9">
        <w:rPr>
          <w:rFonts w:ascii="Verdana" w:eastAsia="Times New Roman" w:hAnsi="Verdana" w:cs="Times New Roman"/>
        </w:rPr>
        <w:t>Обн</w:t>
      </w:r>
      <w:proofErr w:type="spellEnd"/>
      <w:r w:rsidRPr="007E3BD9">
        <w:rPr>
          <w:rFonts w:ascii="Verdana" w:eastAsia="Times New Roman" w:hAnsi="Verdana" w:cs="Times New Roman"/>
        </w:rPr>
        <w:t>. ДВ. бр.</w:t>
      </w:r>
      <w:r w:rsidR="00DA1D92">
        <w:rPr>
          <w:rFonts w:ascii="Verdana" w:eastAsia="Times New Roman" w:hAnsi="Verdana" w:cs="Times New Roman"/>
        </w:rPr>
        <w:t xml:space="preserve"> </w:t>
      </w:r>
      <w:r w:rsidRPr="007E3BD9">
        <w:rPr>
          <w:rFonts w:ascii="Verdana" w:eastAsia="Times New Roman" w:hAnsi="Verdana" w:cs="Times New Roman"/>
        </w:rPr>
        <w:t>62 от 10 Август 2010г.</w:t>
      </w:r>
    </w:p>
    <w:p w:rsidR="00E11EC3" w:rsidRPr="007E3BD9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t>ИНСТРУКЦИЯ №</w:t>
      </w:r>
      <w:r w:rsidR="007E3BD9">
        <w:rPr>
          <w:rFonts w:ascii="Verdana" w:eastAsia="Times New Roman" w:hAnsi="Verdana" w:cs="Times New Roman"/>
        </w:rPr>
        <w:t xml:space="preserve"> </w:t>
      </w:r>
      <w:r w:rsidRPr="007E3BD9">
        <w:rPr>
          <w:rFonts w:ascii="Verdana" w:eastAsia="Times New Roman" w:hAnsi="Verdana" w:cs="Times New Roman"/>
        </w:rPr>
        <w:t xml:space="preserve">РД-02-20-12 от 03 август 2012 г. за преобразуване на съществуващите </w:t>
      </w:r>
      <w:proofErr w:type="spellStart"/>
      <w:r w:rsidRPr="007E3BD9">
        <w:rPr>
          <w:rFonts w:ascii="Verdana" w:eastAsia="Times New Roman" w:hAnsi="Verdana" w:cs="Times New Roman"/>
        </w:rPr>
        <w:t>геодезически</w:t>
      </w:r>
      <w:proofErr w:type="spellEnd"/>
      <w:r w:rsidRPr="007E3BD9">
        <w:rPr>
          <w:rFonts w:ascii="Verdana" w:eastAsia="Times New Roman" w:hAnsi="Verdana" w:cs="Times New Roman"/>
        </w:rPr>
        <w:t xml:space="preserve"> и картографски материали и данни в „Българска </w:t>
      </w:r>
      <w:proofErr w:type="spellStart"/>
      <w:r w:rsidRPr="007E3BD9">
        <w:rPr>
          <w:rFonts w:ascii="Verdana" w:eastAsia="Times New Roman" w:hAnsi="Verdana" w:cs="Times New Roman"/>
        </w:rPr>
        <w:t>геодезическа</w:t>
      </w:r>
      <w:proofErr w:type="spellEnd"/>
      <w:r w:rsidRPr="007E3BD9">
        <w:rPr>
          <w:rFonts w:ascii="Verdana" w:eastAsia="Times New Roman" w:hAnsi="Verdana" w:cs="Times New Roman"/>
        </w:rPr>
        <w:t xml:space="preserve"> система 2005“, Издадена от Министерството на регионалното развитие и благоустройството, </w:t>
      </w:r>
      <w:proofErr w:type="spellStart"/>
      <w:r w:rsidRPr="007E3BD9">
        <w:rPr>
          <w:rFonts w:ascii="Verdana" w:eastAsia="Times New Roman" w:hAnsi="Verdana" w:cs="Times New Roman"/>
        </w:rPr>
        <w:t>Обн</w:t>
      </w:r>
      <w:proofErr w:type="spellEnd"/>
      <w:r w:rsidRPr="007E3BD9">
        <w:rPr>
          <w:rFonts w:ascii="Verdana" w:eastAsia="Times New Roman" w:hAnsi="Verdana" w:cs="Times New Roman"/>
        </w:rPr>
        <w:t>. ДВ. бр.63 от 17 Август 2012 г.</w:t>
      </w:r>
    </w:p>
    <w:p w:rsidR="00E11EC3" w:rsidRDefault="00E11EC3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  <w:r w:rsidRPr="007E3BD9">
        <w:rPr>
          <w:rFonts w:ascii="Verdana" w:eastAsia="Times New Roman" w:hAnsi="Verdana" w:cs="Times New Roman"/>
        </w:rPr>
        <w:lastRenderedPageBreak/>
        <w:t xml:space="preserve">ИНСТРУКЦИЯ № РД-02-20-25 от 20 септември 2011 г. ЗА ОПРЕДЕЛЯНЕ НА ГЕОДЕЗИЧЕСКИ ТОЧКИ С ПОМОЩТА НА ГЛОБАЛНИ НАВИГАЦИОННИ СПЪТНИКОВИ СИСТЕМИ, издадена от Министерството на регионалното развитие и благоустройството, </w:t>
      </w:r>
      <w:proofErr w:type="spellStart"/>
      <w:r w:rsidRPr="007E3BD9">
        <w:rPr>
          <w:rFonts w:ascii="Verdana" w:eastAsia="Times New Roman" w:hAnsi="Verdana" w:cs="Times New Roman"/>
        </w:rPr>
        <w:t>Обн</w:t>
      </w:r>
      <w:proofErr w:type="spellEnd"/>
      <w:r w:rsidRPr="007E3BD9">
        <w:rPr>
          <w:rFonts w:ascii="Verdana" w:eastAsia="Times New Roman" w:hAnsi="Verdana" w:cs="Times New Roman"/>
        </w:rPr>
        <w:t>. ДВ. бр.79 от 11 Октомври 2011г.</w:t>
      </w:r>
    </w:p>
    <w:p w:rsidR="00A21AD5" w:rsidRPr="007E3BD9" w:rsidRDefault="00A21AD5" w:rsidP="00AD407E">
      <w:pPr>
        <w:tabs>
          <w:tab w:val="num" w:pos="1134"/>
          <w:tab w:val="num" w:pos="121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eastAsia="Times New Roman" w:hAnsi="Verdana" w:cs="Times New Roman"/>
        </w:rPr>
      </w:pPr>
    </w:p>
    <w:p w:rsidR="00E11EC3" w:rsidRPr="008D5A06" w:rsidRDefault="00ED4680" w:rsidP="00AD407E">
      <w:pPr>
        <w:pStyle w:val="NoSpacing"/>
        <w:numPr>
          <w:ilvl w:val="0"/>
          <w:numId w:val="13"/>
        </w:numPr>
        <w:spacing w:line="360" w:lineRule="auto"/>
        <w:jc w:val="both"/>
        <w:rPr>
          <w:rFonts w:ascii="Verdana" w:hAnsi="Verdana"/>
          <w:b/>
          <w:color w:val="000000" w:themeColor="text1"/>
        </w:rPr>
      </w:pPr>
      <w:r w:rsidRPr="008D5A06">
        <w:rPr>
          <w:rFonts w:ascii="Verdana" w:hAnsi="Verdana"/>
          <w:b/>
          <w:color w:val="000000" w:themeColor="text1"/>
        </w:rPr>
        <w:t>Срок за изпълнение</w:t>
      </w:r>
    </w:p>
    <w:p w:rsidR="00E11EC3" w:rsidRDefault="00E11EC3" w:rsidP="00AD407E">
      <w:pPr>
        <w:pStyle w:val="NoSpacing"/>
        <w:spacing w:line="360" w:lineRule="auto"/>
        <w:ind w:firstLine="709"/>
        <w:jc w:val="both"/>
        <w:rPr>
          <w:rFonts w:ascii="Verdana" w:hAnsi="Verdana"/>
          <w:color w:val="000000" w:themeColor="text1"/>
        </w:rPr>
      </w:pPr>
      <w:r w:rsidRPr="008D5A06">
        <w:rPr>
          <w:rFonts w:ascii="Verdana" w:hAnsi="Verdana"/>
          <w:color w:val="000000" w:themeColor="text1"/>
        </w:rPr>
        <w:t xml:space="preserve">Срокът за изпълнение на поръчката е до 6 (шест) месеца, при условията и реда, заложени в договора за възлагане на обществена поръчка (проекта на договор е неразделна част от документацията за обществената поръчка). </w:t>
      </w:r>
    </w:p>
    <w:p w:rsidR="00A21AD5" w:rsidRPr="008D5A06" w:rsidRDefault="00A21AD5" w:rsidP="00AD407E">
      <w:pPr>
        <w:pStyle w:val="NoSpacing"/>
        <w:spacing w:line="360" w:lineRule="auto"/>
        <w:ind w:firstLine="709"/>
        <w:jc w:val="both"/>
        <w:rPr>
          <w:rFonts w:ascii="Verdana" w:hAnsi="Verdana"/>
          <w:color w:val="000000" w:themeColor="text1"/>
        </w:rPr>
      </w:pPr>
    </w:p>
    <w:p w:rsidR="00E11EC3" w:rsidRPr="008D5A06" w:rsidRDefault="00ED4680" w:rsidP="00AD407E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Times New Roman"/>
          <w:b/>
          <w:color w:val="000000"/>
        </w:rPr>
      </w:pPr>
      <w:r w:rsidRPr="008D5A06">
        <w:rPr>
          <w:rFonts w:ascii="Verdana" w:eastAsia="Calibri" w:hAnsi="Verdana" w:cs="Times New Roman"/>
          <w:b/>
          <w:color w:val="000000"/>
        </w:rPr>
        <w:t>Представяне на резултатите от изпълнението на поръчката</w:t>
      </w:r>
    </w:p>
    <w:p w:rsidR="00E11EC3" w:rsidRPr="008D5A06" w:rsidRDefault="00E11EC3" w:rsidP="00AD407E">
      <w:pPr>
        <w:spacing w:after="0" w:line="360" w:lineRule="auto"/>
        <w:ind w:firstLine="709"/>
        <w:jc w:val="both"/>
        <w:rPr>
          <w:rFonts w:ascii="Verdana" w:eastAsia="Calibri" w:hAnsi="Verdana" w:cs="Times New Roman"/>
          <w:color w:val="000000"/>
        </w:rPr>
      </w:pPr>
      <w:r w:rsidRPr="008D5A06">
        <w:rPr>
          <w:rFonts w:ascii="Verdana" w:eastAsia="Calibri" w:hAnsi="Verdana" w:cs="Times New Roman"/>
          <w:color w:val="000000"/>
        </w:rPr>
        <w:t xml:space="preserve">Резултатите от изпълнението на поръчката се представят на Възложителя под формата на доклад на хартиен и цифров носител </w:t>
      </w:r>
      <w:r w:rsidRPr="008D5A06">
        <w:rPr>
          <w:rFonts w:ascii="Verdana" w:eastAsia="Calibri" w:hAnsi="Verdana" w:cs="Times New Roman"/>
          <w:color w:val="000000"/>
          <w:lang w:val="en-US"/>
        </w:rPr>
        <w:t>(</w:t>
      </w:r>
      <w:r w:rsidRPr="008D5A06">
        <w:rPr>
          <w:rFonts w:ascii="Verdana" w:eastAsia="Calibri" w:hAnsi="Verdana" w:cs="Times New Roman"/>
          <w:color w:val="000000"/>
        </w:rPr>
        <w:t>в 1 оригинален екземпляр на хартиен носител и записани на 1 бр. цифров носител</w:t>
      </w:r>
      <w:r w:rsidRPr="008D5A06">
        <w:rPr>
          <w:rFonts w:ascii="Verdana" w:eastAsia="Calibri" w:hAnsi="Verdana" w:cs="Times New Roman"/>
          <w:color w:val="000000"/>
          <w:lang w:val="en-US"/>
        </w:rPr>
        <w:t>)</w:t>
      </w:r>
      <w:r w:rsidRPr="008D5A06">
        <w:rPr>
          <w:rFonts w:ascii="Verdana" w:eastAsia="Calibri" w:hAnsi="Verdana" w:cs="Times New Roman"/>
          <w:color w:val="000000"/>
        </w:rPr>
        <w:t>.</w:t>
      </w:r>
    </w:p>
    <w:p w:rsidR="00E11EC3" w:rsidRPr="008D5A06" w:rsidRDefault="00E11EC3" w:rsidP="00AD407E">
      <w:pPr>
        <w:spacing w:after="0" w:line="360" w:lineRule="auto"/>
        <w:ind w:firstLine="709"/>
        <w:jc w:val="both"/>
        <w:rPr>
          <w:rFonts w:ascii="Verdana" w:eastAsia="Calibri" w:hAnsi="Verdana" w:cs="Times New Roman"/>
          <w:color w:val="000000"/>
        </w:rPr>
      </w:pPr>
      <w:r w:rsidRPr="008D5A06">
        <w:rPr>
          <w:rFonts w:ascii="Verdana" w:eastAsia="Calibri" w:hAnsi="Verdana" w:cs="Times New Roman"/>
          <w:color w:val="000000"/>
        </w:rPr>
        <w:t>Изпълнението на обществената поръчка се приема от Възложителя, съгласно условията и реда, посочени в проекта на договор за възлагане на обществена поръчка.</w:t>
      </w:r>
    </w:p>
    <w:p w:rsidR="00FA1700" w:rsidRDefault="00FA1700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0A716C">
        <w:rPr>
          <w:rFonts w:ascii="Verdana" w:hAnsi="Verdana"/>
          <w:b/>
        </w:rPr>
        <w:t>V. УСЛОВИЯ ЗА УЧАСТИЕ.</w:t>
      </w:r>
    </w:p>
    <w:p w:rsidR="00A21AD5" w:rsidRPr="000A716C" w:rsidRDefault="00A21AD5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Pr="00A6241C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A6241C">
        <w:rPr>
          <w:rFonts w:ascii="Verdana" w:hAnsi="Verdana"/>
        </w:rPr>
        <w:t xml:space="preserve">Участник в обществената поръчка може да бъде всяко лице по чл. 10, ал. 1 </w:t>
      </w:r>
      <w:r w:rsidR="00A6241C" w:rsidRPr="00A6241C">
        <w:rPr>
          <w:rFonts w:ascii="Verdana" w:hAnsi="Verdana"/>
        </w:rPr>
        <w:t xml:space="preserve">от </w:t>
      </w:r>
      <w:r w:rsidRPr="00A6241C">
        <w:rPr>
          <w:rFonts w:ascii="Verdana" w:hAnsi="Verdana"/>
        </w:rPr>
        <w:t>ЗОП.</w:t>
      </w:r>
    </w:p>
    <w:p w:rsidR="008621D3" w:rsidRPr="00A6241C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A6241C">
        <w:rPr>
          <w:rFonts w:ascii="Verdana" w:hAnsi="Verdana"/>
        </w:rPr>
        <w:t>Всеки участник в обществената поръчка има право да представи само една оферта и за пълния обем на поръчката. Офертата се изготвя на български език.</w:t>
      </w:r>
    </w:p>
    <w:p w:rsidR="008621D3" w:rsidRPr="00A6241C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A6241C">
        <w:rPr>
          <w:rFonts w:ascii="Verdana" w:hAnsi="Verdana"/>
        </w:rPr>
        <w:t>Не се разрешава представяне на варианти в офертите.</w:t>
      </w:r>
    </w:p>
    <w:p w:rsidR="008621D3" w:rsidRPr="00A6241C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A6241C">
        <w:rPr>
          <w:rFonts w:ascii="Verdana" w:hAnsi="Verdana"/>
        </w:rPr>
        <w:t>Едно физическо или юридическо лице може да участва само в едно обединение.</w:t>
      </w:r>
    </w:p>
    <w:p w:rsidR="008621D3" w:rsidRPr="00A6241C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A6241C">
        <w:rPr>
          <w:rFonts w:ascii="Verdana" w:hAnsi="Verdana"/>
        </w:rPr>
        <w:t>Лице, което участва в обединение или е дало съгласие да бъде подизпълнител на друг участник, не може да подава самостоятелна оферта.</w:t>
      </w:r>
    </w:p>
    <w:p w:rsidR="008621D3" w:rsidRPr="00A6241C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A6241C">
        <w:rPr>
          <w:rFonts w:ascii="Verdana" w:hAnsi="Verdana"/>
        </w:rPr>
        <w:t>При изготвяне на офертата си всеки участник трябва да се придържа точно към обявените от възложителя условия.</w:t>
      </w:r>
    </w:p>
    <w:p w:rsidR="008621D3" w:rsidRPr="00A6241C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A6241C">
        <w:rPr>
          <w:rFonts w:ascii="Verdana" w:hAnsi="Verdana"/>
        </w:rPr>
        <w:t>Свързани лица по смисъла на § 2, т. 45 от ДР на ЗОП не могат да бъдат самостоятелни участници в поръчката.</w:t>
      </w:r>
    </w:p>
    <w:p w:rsidR="008621D3" w:rsidRPr="00A6241C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A6241C">
        <w:rPr>
          <w:rFonts w:ascii="Verdana" w:hAnsi="Verdana"/>
        </w:rPr>
        <w:t xml:space="preserve">Клон на чуждестранно лице може да е самостоятелен участник, ако може самостоятелно да подава оферти и да сключва договори съгласно законодателството на държавата, в която е установен. В този случай, ако за </w:t>
      </w:r>
      <w:r w:rsidRPr="00A6241C">
        <w:rPr>
          <w:rFonts w:ascii="Verdana" w:hAnsi="Verdana"/>
        </w:rPr>
        <w:lastRenderedPageBreak/>
        <w:t xml:space="preserve">доказване на съответствие с изискванията за </w:t>
      </w:r>
      <w:r w:rsidR="00A6241C" w:rsidRPr="00A6241C">
        <w:rPr>
          <w:rFonts w:ascii="Verdana" w:hAnsi="Verdana"/>
        </w:rPr>
        <w:t xml:space="preserve">икономическо и финансово състояние, </w:t>
      </w:r>
      <w:r w:rsidRPr="00A6241C">
        <w:rPr>
          <w:rFonts w:ascii="Verdana" w:hAnsi="Verdana"/>
        </w:rPr>
        <w:t xml:space="preserve">технически </w:t>
      </w:r>
      <w:r w:rsidR="00A6241C" w:rsidRPr="00A6241C">
        <w:rPr>
          <w:rFonts w:ascii="Verdana" w:hAnsi="Verdana"/>
        </w:rPr>
        <w:t xml:space="preserve">и професионални </w:t>
      </w:r>
      <w:r w:rsidRPr="00A6241C">
        <w:rPr>
          <w:rFonts w:ascii="Verdana" w:hAnsi="Verdana"/>
        </w:rPr>
        <w:t>способности клонът се позовава на ресурсите на търговеца, клонът представя доказателства, че при изпълнение на поръчката ще има на разположение тези ресурси.</w:t>
      </w:r>
    </w:p>
    <w:p w:rsidR="008621D3" w:rsidRPr="00291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2919A1">
        <w:rPr>
          <w:rFonts w:ascii="Verdana" w:hAnsi="Verdana"/>
        </w:rPr>
        <w:t>За да бъде допуснат до участие в поръчката, участникът трябва да отговаря на предварително обявените условия на възложителя, както и да представи всички изискуеми документи, изготвени съгласно условията на ЗОП</w:t>
      </w:r>
      <w:r w:rsidR="002919A1" w:rsidRPr="002919A1">
        <w:rPr>
          <w:rFonts w:ascii="Verdana" w:hAnsi="Verdana"/>
        </w:rPr>
        <w:t>, ППЗОП</w:t>
      </w:r>
      <w:r w:rsidRPr="002919A1">
        <w:rPr>
          <w:rFonts w:ascii="Verdana" w:hAnsi="Verdana"/>
        </w:rPr>
        <w:t xml:space="preserve"> и на настоящата документация.</w:t>
      </w:r>
    </w:p>
    <w:p w:rsidR="008621D3" w:rsidRPr="00291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2919A1">
        <w:rPr>
          <w:rFonts w:ascii="Verdana" w:hAnsi="Verdana"/>
        </w:rPr>
        <w:t>Възложителят отстранява участник:</w:t>
      </w:r>
    </w:p>
    <w:p w:rsidR="008621D3" w:rsidRPr="00291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2919A1">
        <w:rPr>
          <w:rFonts w:ascii="Verdana" w:hAnsi="Verdana"/>
        </w:rPr>
        <w:t>1. За когото са налице основанията по чл. 54, ал. 1, т. 1 - 5 и 7 ЗОП.</w:t>
      </w:r>
    </w:p>
    <w:p w:rsidR="008621D3" w:rsidRPr="00291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2919A1">
        <w:rPr>
          <w:rFonts w:ascii="Verdana" w:hAnsi="Verdana"/>
        </w:rPr>
        <w:t>Изискването се прилага и когато участник в поръчката е обединение от физически и/или юридически лица и за член на обединението е налице някое от основанията за отстраняване по т.1.</w:t>
      </w:r>
    </w:p>
    <w:p w:rsidR="008621D3" w:rsidRPr="00291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2919A1">
        <w:rPr>
          <w:rFonts w:ascii="Verdana" w:hAnsi="Verdana"/>
        </w:rPr>
        <w:t xml:space="preserve">Изискването по чл. 54, ал. 1, т. 3 от ЗОП не се прилага, когато размерът на неплатените дължими данъци или </w:t>
      </w:r>
      <w:proofErr w:type="spellStart"/>
      <w:r w:rsidRPr="002919A1">
        <w:rPr>
          <w:rFonts w:ascii="Verdana" w:hAnsi="Verdana"/>
        </w:rPr>
        <w:t>социалноосигурителни</w:t>
      </w:r>
      <w:proofErr w:type="spellEnd"/>
      <w:r w:rsidRPr="002919A1">
        <w:rPr>
          <w:rFonts w:ascii="Verdana" w:hAnsi="Verdana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8621D3" w:rsidRPr="00291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2919A1">
        <w:rPr>
          <w:rFonts w:ascii="Verdana" w:hAnsi="Verdana"/>
        </w:rPr>
        <w:t>Основанията по чл. 54, ал. 1, т. 1, 2 и 7 ЗОП се отнасят за лицата по чл. 40 ППЗОП.</w:t>
      </w:r>
    </w:p>
    <w:p w:rsidR="008621D3" w:rsidRPr="00291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2919A1">
        <w:rPr>
          <w:rFonts w:ascii="Verdana" w:hAnsi="Verdana"/>
        </w:rPr>
        <w:t>Основанията за отстраняване по т. 1 се прилагат до изтичане на сроковете по чл. 57, ал. 3 от ЗОП.</w:t>
      </w:r>
    </w:p>
    <w:p w:rsidR="008621D3" w:rsidRPr="00291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2919A1">
        <w:rPr>
          <w:rFonts w:ascii="Verdana" w:hAnsi="Verdana"/>
        </w:rPr>
        <w:t>2. не отговаря на поставените критерии за подбор или не изпълни друго условие, посочено в документацията;</w:t>
      </w:r>
    </w:p>
    <w:p w:rsidR="008621D3" w:rsidRPr="004152F4" w:rsidRDefault="00901AEC" w:rsidP="00AD407E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3.</w:t>
      </w:r>
      <w:r w:rsidR="008621D3" w:rsidRPr="004152F4">
        <w:rPr>
          <w:rFonts w:ascii="Verdana" w:hAnsi="Verdana"/>
        </w:rPr>
        <w:t xml:space="preserve"> е представил оферта, която не отговаря на:</w:t>
      </w:r>
    </w:p>
    <w:p w:rsidR="008621D3" w:rsidRPr="004152F4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4152F4">
        <w:rPr>
          <w:rFonts w:ascii="Verdana" w:hAnsi="Verdana"/>
        </w:rPr>
        <w:t>а) предварително обявените условия на поръчката;</w:t>
      </w:r>
    </w:p>
    <w:p w:rsidR="008621D3" w:rsidRPr="004152F4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4152F4">
        <w:rPr>
          <w:rFonts w:ascii="Verdana" w:hAnsi="Verdana"/>
        </w:rPr>
        <w:t xml:space="preserve">б)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които са изброени в приложение № 10 </w:t>
      </w:r>
      <w:r w:rsidR="004152F4" w:rsidRPr="004152F4">
        <w:rPr>
          <w:rFonts w:ascii="Verdana" w:hAnsi="Verdana"/>
        </w:rPr>
        <w:t xml:space="preserve">от </w:t>
      </w:r>
      <w:r w:rsidRPr="004152F4">
        <w:rPr>
          <w:rFonts w:ascii="Verdana" w:hAnsi="Verdana"/>
        </w:rPr>
        <w:t>ЗОП;</w:t>
      </w:r>
    </w:p>
    <w:p w:rsidR="008621D3" w:rsidRPr="004152F4" w:rsidRDefault="00901AEC" w:rsidP="00AD407E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4. </w:t>
      </w:r>
      <w:r w:rsidR="008621D3" w:rsidRPr="004152F4">
        <w:rPr>
          <w:rFonts w:ascii="Verdana" w:hAnsi="Verdana"/>
        </w:rPr>
        <w:t xml:space="preserve"> не е представил в срок обосновката по чл. 72, ал. 1 ЗОП или чиято оферта не е приета съгласно чл. 72, ал. 3 – 5 ЗОП;</w:t>
      </w:r>
    </w:p>
    <w:p w:rsidR="008621D3" w:rsidRPr="004152F4" w:rsidRDefault="00901AEC" w:rsidP="00AD407E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5. </w:t>
      </w:r>
      <w:r w:rsidR="008621D3" w:rsidRPr="004152F4">
        <w:rPr>
          <w:rFonts w:ascii="Verdana" w:hAnsi="Verdana"/>
        </w:rPr>
        <w:t xml:space="preserve"> участници, които са свързани лица (по смисъла на § 2, т. 45 от ДР на ЗОП).</w:t>
      </w:r>
    </w:p>
    <w:p w:rsidR="006B0856" w:rsidRDefault="006B0856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4152F4">
        <w:rPr>
          <w:rFonts w:ascii="Verdana" w:hAnsi="Verdana"/>
          <w:b/>
        </w:rPr>
        <w:t>VІ. СЪДЪРЖАНИЕ НА ОФЕРТАТА</w:t>
      </w:r>
    </w:p>
    <w:p w:rsidR="00A21AD5" w:rsidRPr="004152F4" w:rsidRDefault="00A21AD5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4152F4">
        <w:rPr>
          <w:rFonts w:ascii="Verdana" w:hAnsi="Verdana"/>
        </w:rPr>
        <w:lastRenderedPageBreak/>
        <w:t>За участие в обществената поръчка участниците подават оферта. Офертата трябва да бъде изготвена в съответствие с изискванията на ЗОП</w:t>
      </w:r>
      <w:r w:rsidR="004152F4" w:rsidRPr="004152F4">
        <w:rPr>
          <w:rFonts w:ascii="Verdana" w:hAnsi="Verdana"/>
        </w:rPr>
        <w:t>, ППЗОП</w:t>
      </w:r>
      <w:r w:rsidRPr="004152F4">
        <w:rPr>
          <w:rFonts w:ascii="Verdana" w:hAnsi="Verdana"/>
        </w:rPr>
        <w:t xml:space="preserve"> и настоящите указания.</w:t>
      </w:r>
    </w:p>
    <w:p w:rsidR="00A21AD5" w:rsidRPr="004152F4" w:rsidRDefault="00A21AD5" w:rsidP="00AD407E">
      <w:pPr>
        <w:spacing w:after="0" w:line="360" w:lineRule="auto"/>
        <w:jc w:val="both"/>
        <w:rPr>
          <w:rFonts w:ascii="Verdana" w:hAnsi="Verdana"/>
        </w:rPr>
      </w:pPr>
    </w:p>
    <w:p w:rsidR="008621D3" w:rsidRPr="004152F4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4152F4">
        <w:rPr>
          <w:rFonts w:ascii="Verdana" w:hAnsi="Verdana"/>
          <w:b/>
        </w:rPr>
        <w:t>Офертата трябва да съдържа:</w:t>
      </w:r>
    </w:p>
    <w:p w:rsidR="008621D3" w:rsidRPr="00C12515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C12515">
        <w:rPr>
          <w:rFonts w:ascii="Verdana" w:hAnsi="Verdana"/>
          <w:b/>
        </w:rPr>
        <w:t>1.</w:t>
      </w:r>
      <w:r w:rsidRPr="00C12515">
        <w:rPr>
          <w:rFonts w:ascii="Verdana" w:hAnsi="Verdana"/>
        </w:rPr>
        <w:t xml:space="preserve"> При участие на обединение, което не е юридическо лице - заверено копие от документ, от който да е видно правното основание за създаване на обединението. В документа следва да е определен партньор, който да представлява обединението за целите на обществената поръчка, както и да е уговорена солидарна отговорност, когато такава не е предвидена съгласно приложимото законодателство. В документа трябва да е посочена и следната информация:</w:t>
      </w:r>
    </w:p>
    <w:p w:rsidR="008621D3" w:rsidRPr="00C12515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C12515">
        <w:rPr>
          <w:rFonts w:ascii="Verdana" w:hAnsi="Verdana"/>
        </w:rPr>
        <w:t>- правата и задълженията на участниците в обединението;</w:t>
      </w:r>
    </w:p>
    <w:p w:rsidR="008621D3" w:rsidRPr="00C12515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C12515">
        <w:rPr>
          <w:rFonts w:ascii="Verdana" w:hAnsi="Verdana"/>
        </w:rPr>
        <w:t>- дейностите, които ще изпълнява всеки член на обединението.</w:t>
      </w:r>
    </w:p>
    <w:p w:rsidR="008621D3" w:rsidRPr="00C12515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C12515">
        <w:rPr>
          <w:rFonts w:ascii="Verdana" w:hAnsi="Verdana"/>
          <w:b/>
        </w:rPr>
        <w:t>2.</w:t>
      </w:r>
      <w:r w:rsidRPr="00C12515">
        <w:rPr>
          <w:rFonts w:ascii="Verdana" w:hAnsi="Verdana"/>
        </w:rPr>
        <w:t xml:space="preserve"> Списък на услугите, които са идентични или сходни с предмета поръчката – по образец</w:t>
      </w:r>
      <w:r w:rsidR="006733D0">
        <w:rPr>
          <w:rFonts w:ascii="Verdana" w:hAnsi="Verdana"/>
        </w:rPr>
        <w:t xml:space="preserve"> (Приложение № 5 към документацията);</w:t>
      </w:r>
      <w:r w:rsidRPr="00C12515">
        <w:rPr>
          <w:rFonts w:ascii="Verdana" w:hAnsi="Verdana"/>
        </w:rPr>
        <w:t xml:space="preserve"> </w:t>
      </w:r>
    </w:p>
    <w:p w:rsidR="008621D3" w:rsidRPr="00C12515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C12515">
        <w:rPr>
          <w:rFonts w:ascii="Verdana" w:hAnsi="Verdana"/>
          <w:b/>
        </w:rPr>
        <w:t>3.</w:t>
      </w:r>
      <w:r w:rsidR="00C12515" w:rsidRPr="00C12515">
        <w:rPr>
          <w:rFonts w:ascii="Verdana" w:hAnsi="Verdana"/>
        </w:rPr>
        <w:t xml:space="preserve"> Списък на персонал</w:t>
      </w:r>
      <w:r w:rsidR="000D34E5">
        <w:rPr>
          <w:rFonts w:ascii="Verdana" w:hAnsi="Verdana"/>
        </w:rPr>
        <w:t xml:space="preserve">а, който ще изпълнява поръчката </w:t>
      </w:r>
      <w:r w:rsidRPr="00C12515">
        <w:rPr>
          <w:rFonts w:ascii="Verdana" w:hAnsi="Verdana"/>
        </w:rPr>
        <w:t>– по образец. Към списъка се представят декларации за ангажираност за всеки посочен експерт</w:t>
      </w:r>
      <w:r w:rsidR="006733D0">
        <w:rPr>
          <w:rFonts w:ascii="Verdana" w:hAnsi="Verdana"/>
        </w:rPr>
        <w:t xml:space="preserve"> </w:t>
      </w:r>
      <w:r w:rsidR="00921C95">
        <w:rPr>
          <w:rFonts w:ascii="Verdana" w:hAnsi="Verdana"/>
        </w:rPr>
        <w:t>(Приложение № 6</w:t>
      </w:r>
      <w:r w:rsidR="006733D0" w:rsidRPr="006733D0">
        <w:rPr>
          <w:rFonts w:ascii="Verdana" w:hAnsi="Verdana"/>
        </w:rPr>
        <w:t xml:space="preserve"> към документацията);</w:t>
      </w:r>
    </w:p>
    <w:p w:rsidR="008621D3" w:rsidRPr="00C12515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C12515">
        <w:rPr>
          <w:rFonts w:ascii="Verdana" w:hAnsi="Verdana"/>
          <w:b/>
        </w:rPr>
        <w:t>4.</w:t>
      </w:r>
      <w:r w:rsidRPr="00C12515">
        <w:rPr>
          <w:rFonts w:ascii="Verdana" w:hAnsi="Verdana"/>
        </w:rPr>
        <w:t xml:space="preserve"> Декларация по чл. 66, ал. 1 </w:t>
      </w:r>
      <w:r w:rsidR="00C12515" w:rsidRPr="00C12515">
        <w:rPr>
          <w:rFonts w:ascii="Verdana" w:hAnsi="Verdana"/>
        </w:rPr>
        <w:t xml:space="preserve">от </w:t>
      </w:r>
      <w:r w:rsidRPr="00C12515">
        <w:rPr>
          <w:rFonts w:ascii="Verdana" w:hAnsi="Verdana"/>
        </w:rPr>
        <w:t>ЗОП – по образец</w:t>
      </w:r>
      <w:r w:rsidR="009548BD">
        <w:rPr>
          <w:rFonts w:ascii="Verdana" w:hAnsi="Verdana"/>
        </w:rPr>
        <w:t xml:space="preserve"> (Приложение № 2.1</w:t>
      </w:r>
      <w:r w:rsidR="009548BD" w:rsidRPr="009548BD">
        <w:rPr>
          <w:rFonts w:ascii="Verdana" w:hAnsi="Verdana"/>
        </w:rPr>
        <w:t xml:space="preserve"> </w:t>
      </w:r>
      <w:r w:rsidR="009548BD">
        <w:rPr>
          <w:rFonts w:ascii="Verdana" w:hAnsi="Verdana"/>
        </w:rPr>
        <w:t>и Приложение № 2.2</w:t>
      </w:r>
      <w:r w:rsidR="009548BD" w:rsidRPr="009548BD">
        <w:rPr>
          <w:rFonts w:ascii="Verdana" w:hAnsi="Verdana"/>
        </w:rPr>
        <w:t xml:space="preserve"> към документацията);</w:t>
      </w:r>
    </w:p>
    <w:p w:rsidR="008621D3" w:rsidRPr="00C12515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C12515">
        <w:rPr>
          <w:rFonts w:ascii="Verdana" w:hAnsi="Verdana"/>
          <w:b/>
        </w:rPr>
        <w:t>5.</w:t>
      </w:r>
      <w:r w:rsidRPr="00C12515">
        <w:rPr>
          <w:rFonts w:ascii="Verdana" w:hAnsi="Verdana"/>
        </w:rPr>
        <w:t xml:space="preserve"> Декларация по чл. 54, ал. 1, т. 1 , 2 и 7 </w:t>
      </w:r>
      <w:r w:rsidR="00C12515" w:rsidRPr="00C12515">
        <w:rPr>
          <w:rFonts w:ascii="Verdana" w:hAnsi="Verdana"/>
        </w:rPr>
        <w:t xml:space="preserve">от </w:t>
      </w:r>
      <w:r w:rsidRPr="00C12515">
        <w:rPr>
          <w:rFonts w:ascii="Verdana" w:hAnsi="Verdana"/>
        </w:rPr>
        <w:t>ЗОП – по образец</w:t>
      </w:r>
      <w:r w:rsidR="00921C95">
        <w:rPr>
          <w:rFonts w:ascii="Verdana" w:hAnsi="Verdana"/>
        </w:rPr>
        <w:t xml:space="preserve"> (Приложение № 7</w:t>
      </w:r>
      <w:r w:rsidR="00921C95" w:rsidRPr="00921C95">
        <w:rPr>
          <w:rFonts w:ascii="Verdana" w:hAnsi="Verdana"/>
        </w:rPr>
        <w:t xml:space="preserve"> към документацията);</w:t>
      </w:r>
    </w:p>
    <w:p w:rsidR="008621D3" w:rsidRPr="00C12515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C12515">
        <w:rPr>
          <w:rFonts w:ascii="Verdana" w:hAnsi="Verdana"/>
          <w:b/>
        </w:rPr>
        <w:t>6.</w:t>
      </w:r>
      <w:r w:rsidRPr="00C12515">
        <w:rPr>
          <w:rFonts w:ascii="Verdana" w:hAnsi="Verdana"/>
        </w:rPr>
        <w:t xml:space="preserve"> Декларация по чл. 54, ал. 1, т. 3 - 5 </w:t>
      </w:r>
      <w:r w:rsidR="00C12515" w:rsidRPr="00C12515">
        <w:rPr>
          <w:rFonts w:ascii="Verdana" w:hAnsi="Verdana"/>
        </w:rPr>
        <w:t xml:space="preserve">от </w:t>
      </w:r>
      <w:r w:rsidRPr="00C12515">
        <w:rPr>
          <w:rFonts w:ascii="Verdana" w:hAnsi="Verdana"/>
        </w:rPr>
        <w:t>ЗОП – по образец</w:t>
      </w:r>
      <w:r w:rsidR="00921C95">
        <w:rPr>
          <w:rFonts w:ascii="Verdana" w:hAnsi="Verdana"/>
        </w:rPr>
        <w:t xml:space="preserve"> (Приложение № 8</w:t>
      </w:r>
      <w:r w:rsidR="00921C95" w:rsidRPr="00921C95">
        <w:rPr>
          <w:rFonts w:ascii="Verdana" w:hAnsi="Verdana"/>
        </w:rPr>
        <w:t xml:space="preserve"> към документацията);</w:t>
      </w:r>
    </w:p>
    <w:p w:rsidR="008621D3" w:rsidRPr="00C12515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C12515">
        <w:rPr>
          <w:rFonts w:ascii="Verdana" w:hAnsi="Verdana"/>
          <w:b/>
        </w:rPr>
        <w:t>7.</w:t>
      </w:r>
      <w:r w:rsidRPr="00C12515">
        <w:rPr>
          <w:rFonts w:ascii="Verdana" w:hAnsi="Verdana"/>
        </w:rPr>
        <w:t xml:space="preserve"> Техническо предложение – по образец</w:t>
      </w:r>
      <w:r w:rsidR="00921C95">
        <w:rPr>
          <w:rFonts w:ascii="Verdana" w:hAnsi="Verdana"/>
        </w:rPr>
        <w:t xml:space="preserve"> </w:t>
      </w:r>
      <w:r w:rsidR="009548BD">
        <w:rPr>
          <w:rFonts w:ascii="Verdana" w:hAnsi="Verdana"/>
        </w:rPr>
        <w:t>(Приложение № 1</w:t>
      </w:r>
      <w:r w:rsidR="00921C95" w:rsidRPr="00921C95">
        <w:rPr>
          <w:rFonts w:ascii="Verdana" w:hAnsi="Verdana"/>
        </w:rPr>
        <w:t xml:space="preserve"> към документацията)</w:t>
      </w:r>
      <w:r w:rsidRPr="00C12515">
        <w:rPr>
          <w:rFonts w:ascii="Verdana" w:hAnsi="Verdana"/>
        </w:rPr>
        <w:t>. Когато лицето, което подава офертата, не е законният представител на участника, към техническото предложение се предоставя документ за упълномощаване.</w:t>
      </w:r>
    </w:p>
    <w:p w:rsidR="008621D3" w:rsidRPr="002145A5" w:rsidRDefault="0097228A" w:rsidP="00AD407E">
      <w:pPr>
        <w:spacing w:after="0" w:line="360" w:lineRule="auto"/>
        <w:jc w:val="both"/>
        <w:rPr>
          <w:rFonts w:ascii="Verdana" w:hAnsi="Verdana"/>
        </w:rPr>
      </w:pPr>
      <w:r w:rsidRPr="002145A5">
        <w:rPr>
          <w:rFonts w:ascii="Verdana" w:hAnsi="Verdana"/>
          <w:b/>
        </w:rPr>
        <w:t>8</w:t>
      </w:r>
      <w:r w:rsidR="008621D3" w:rsidRPr="002145A5">
        <w:rPr>
          <w:rFonts w:ascii="Verdana" w:hAnsi="Verdana"/>
          <w:b/>
        </w:rPr>
        <w:t>.</w:t>
      </w:r>
      <w:r w:rsidR="008621D3" w:rsidRPr="002145A5">
        <w:rPr>
          <w:rFonts w:ascii="Verdana" w:hAnsi="Verdana"/>
        </w:rPr>
        <w:t xml:space="preserve"> Ценово предложение по чл. 39, ал. 3, т. 2 </w:t>
      </w:r>
      <w:r w:rsidR="00C12515" w:rsidRPr="002145A5">
        <w:rPr>
          <w:rFonts w:ascii="Verdana" w:hAnsi="Verdana"/>
        </w:rPr>
        <w:t xml:space="preserve">от </w:t>
      </w:r>
      <w:r w:rsidR="008621D3" w:rsidRPr="002145A5">
        <w:rPr>
          <w:rFonts w:ascii="Verdana" w:hAnsi="Verdana"/>
        </w:rPr>
        <w:t>ППЗОП – по образец</w:t>
      </w:r>
      <w:r w:rsidR="00B048F3">
        <w:rPr>
          <w:rFonts w:ascii="Verdana" w:hAnsi="Verdana"/>
        </w:rPr>
        <w:t xml:space="preserve"> (Приложение № 3</w:t>
      </w:r>
      <w:r w:rsidR="00B048F3" w:rsidRPr="00B048F3">
        <w:rPr>
          <w:rFonts w:ascii="Verdana" w:hAnsi="Verdana"/>
        </w:rPr>
        <w:t xml:space="preserve"> към документацията);</w:t>
      </w:r>
    </w:p>
    <w:p w:rsidR="008621D3" w:rsidRPr="0097228A" w:rsidRDefault="0097228A" w:rsidP="00AD407E">
      <w:pPr>
        <w:spacing w:after="0" w:line="360" w:lineRule="auto"/>
        <w:jc w:val="both"/>
        <w:rPr>
          <w:rFonts w:ascii="Verdana" w:hAnsi="Verdana"/>
        </w:rPr>
      </w:pPr>
      <w:r w:rsidRPr="002145A5">
        <w:rPr>
          <w:rFonts w:ascii="Verdana" w:hAnsi="Verdana"/>
          <w:b/>
        </w:rPr>
        <w:t>9</w:t>
      </w:r>
      <w:r w:rsidR="008621D3" w:rsidRPr="002145A5">
        <w:rPr>
          <w:rFonts w:ascii="Verdana" w:hAnsi="Verdana"/>
          <w:b/>
        </w:rPr>
        <w:t>.</w:t>
      </w:r>
      <w:r w:rsidR="008621D3" w:rsidRPr="002145A5">
        <w:rPr>
          <w:rFonts w:ascii="Verdana" w:hAnsi="Verdana"/>
        </w:rPr>
        <w:t xml:space="preserve"> </w:t>
      </w:r>
      <w:r w:rsidR="002145A5">
        <w:rPr>
          <w:rFonts w:ascii="Verdana" w:hAnsi="Verdana"/>
        </w:rPr>
        <w:t>Опис на представените документи.</w:t>
      </w:r>
    </w:p>
    <w:p w:rsidR="00632441" w:rsidRDefault="00632441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0929FF">
        <w:rPr>
          <w:rFonts w:ascii="Verdana" w:hAnsi="Verdana"/>
          <w:b/>
        </w:rPr>
        <w:t>VІІ. КРИТЕРИИ ЗА ПОДБОР.</w:t>
      </w:r>
    </w:p>
    <w:p w:rsidR="00A21AD5" w:rsidRDefault="00A21AD5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97228A">
        <w:rPr>
          <w:rFonts w:ascii="Verdana" w:hAnsi="Verdana"/>
        </w:rPr>
        <w:lastRenderedPageBreak/>
        <w:t>Възложителят определя по отношение на участниците следните критерии за подбор, с които се определят минималните изисквания за допустимост:</w:t>
      </w:r>
    </w:p>
    <w:p w:rsidR="00A21AD5" w:rsidRDefault="00A21AD5" w:rsidP="00AD407E">
      <w:pPr>
        <w:spacing w:after="0" w:line="360" w:lineRule="auto"/>
        <w:jc w:val="both"/>
        <w:rPr>
          <w:rFonts w:ascii="Verdana" w:hAnsi="Verdana"/>
        </w:rPr>
      </w:pPr>
    </w:p>
    <w:p w:rsidR="00C31142" w:rsidRPr="00C31142" w:rsidRDefault="00C31142" w:rsidP="00AD407E">
      <w:pPr>
        <w:spacing w:after="0" w:line="360" w:lineRule="auto"/>
        <w:jc w:val="both"/>
        <w:rPr>
          <w:rFonts w:ascii="Verdana" w:hAnsi="Verdana"/>
          <w:b/>
        </w:rPr>
      </w:pPr>
      <w:r w:rsidRPr="00C31142">
        <w:rPr>
          <w:rFonts w:ascii="Verdana" w:hAnsi="Verdana"/>
          <w:b/>
        </w:rPr>
        <w:t>7.1.Изисквания за Икономическо и финансово състояние на участниците:</w:t>
      </w:r>
    </w:p>
    <w:p w:rsidR="000D34E5" w:rsidRDefault="000D34E5" w:rsidP="00AD407E">
      <w:pPr>
        <w:spacing w:after="0" w:line="360" w:lineRule="auto"/>
        <w:jc w:val="both"/>
        <w:rPr>
          <w:rFonts w:ascii="Verdana" w:hAnsi="Verdana"/>
        </w:rPr>
      </w:pPr>
      <w:r w:rsidRPr="000D34E5">
        <w:rPr>
          <w:rFonts w:ascii="Verdana" w:hAnsi="Verdana"/>
        </w:rPr>
        <w:t xml:space="preserve">Възложителят не поставя изисквания по отношение на икономическото и финансовото състояние на участника. </w:t>
      </w:r>
    </w:p>
    <w:p w:rsidR="00176C48" w:rsidRDefault="00176C48" w:rsidP="00AD407E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7.2. </w:t>
      </w:r>
      <w:r w:rsidRPr="00176C48">
        <w:rPr>
          <w:rFonts w:ascii="Verdana" w:hAnsi="Verdana"/>
          <w:b/>
        </w:rPr>
        <w:t xml:space="preserve">Изисквания за технически и професионални способности </w:t>
      </w:r>
    </w:p>
    <w:p w:rsidR="00984CFA" w:rsidRPr="00984CFA" w:rsidRDefault="00D402C8" w:rsidP="00AD407E">
      <w:pPr>
        <w:spacing w:after="0" w:line="360" w:lineRule="auto"/>
        <w:jc w:val="both"/>
        <w:rPr>
          <w:rFonts w:ascii="Verdana" w:hAnsi="Verdana"/>
        </w:rPr>
      </w:pPr>
      <w:r w:rsidRPr="00D402C8">
        <w:rPr>
          <w:rFonts w:ascii="Verdana" w:hAnsi="Verdana"/>
          <w:b/>
        </w:rPr>
        <w:t>7.2.1.</w:t>
      </w:r>
      <w:r>
        <w:rPr>
          <w:rFonts w:ascii="Verdana" w:hAnsi="Verdana"/>
        </w:rPr>
        <w:t xml:space="preserve"> </w:t>
      </w:r>
      <w:r w:rsidR="00984CFA" w:rsidRPr="00984CFA">
        <w:rPr>
          <w:rFonts w:ascii="Verdana" w:hAnsi="Verdana"/>
        </w:rPr>
        <w:t xml:space="preserve">През последните </w:t>
      </w:r>
      <w:r w:rsidR="00984CFA">
        <w:rPr>
          <w:rFonts w:ascii="Verdana" w:hAnsi="Verdana"/>
        </w:rPr>
        <w:t>3 (</w:t>
      </w:r>
      <w:r w:rsidR="00984CFA" w:rsidRPr="00984CFA">
        <w:rPr>
          <w:rFonts w:ascii="Verdana" w:hAnsi="Verdana"/>
        </w:rPr>
        <w:t>три</w:t>
      </w:r>
      <w:r w:rsidR="00984CFA">
        <w:rPr>
          <w:rFonts w:ascii="Verdana" w:hAnsi="Verdana"/>
        </w:rPr>
        <w:t>)</w:t>
      </w:r>
      <w:r w:rsidR="00984CFA" w:rsidRPr="00984CFA">
        <w:rPr>
          <w:rFonts w:ascii="Verdana" w:hAnsi="Verdana"/>
        </w:rPr>
        <w:t xml:space="preserve"> години от датата на подаване на офертата, участникът трябва да е изпълнил минимум 1 (една) дейност с предмет, идентичен или сходен* с предмета на обществената поръчка.</w:t>
      </w:r>
    </w:p>
    <w:p w:rsidR="00984CFA" w:rsidRDefault="00984CFA" w:rsidP="00AD407E">
      <w:pPr>
        <w:spacing w:after="0" w:line="360" w:lineRule="auto"/>
        <w:jc w:val="both"/>
        <w:rPr>
          <w:rFonts w:ascii="Verdana" w:hAnsi="Verdana"/>
        </w:rPr>
      </w:pPr>
      <w:r w:rsidRPr="00984CFA">
        <w:rPr>
          <w:rFonts w:ascii="Verdana" w:hAnsi="Verdana"/>
        </w:rPr>
        <w:t xml:space="preserve">* Под сходна дейност Възложителят ще приема извършване на </w:t>
      </w:r>
      <w:proofErr w:type="spellStart"/>
      <w:r w:rsidRPr="00984CFA">
        <w:rPr>
          <w:rFonts w:ascii="Verdana" w:hAnsi="Verdana"/>
        </w:rPr>
        <w:t>маркшайдерски</w:t>
      </w:r>
      <w:proofErr w:type="spellEnd"/>
      <w:r w:rsidRPr="00984CFA">
        <w:rPr>
          <w:rFonts w:ascii="Verdana" w:hAnsi="Verdana"/>
        </w:rPr>
        <w:t xml:space="preserve"> или геодезични измервания. </w:t>
      </w:r>
    </w:p>
    <w:p w:rsidR="00283F48" w:rsidRDefault="00283F48" w:rsidP="00AD407E">
      <w:pPr>
        <w:spacing w:after="0" w:line="360" w:lineRule="auto"/>
        <w:jc w:val="both"/>
        <w:rPr>
          <w:rFonts w:ascii="Verdana" w:hAnsi="Verdana"/>
        </w:rPr>
      </w:pPr>
    </w:p>
    <w:p w:rsidR="00D102FE" w:rsidRPr="00370701" w:rsidRDefault="00D402C8" w:rsidP="00AD407E">
      <w:pPr>
        <w:spacing w:after="0" w:line="360" w:lineRule="auto"/>
        <w:jc w:val="both"/>
        <w:rPr>
          <w:rFonts w:ascii="Verdana" w:hAnsi="Verdana"/>
          <w:b/>
        </w:rPr>
      </w:pPr>
      <w:r w:rsidRPr="00370701">
        <w:rPr>
          <w:rFonts w:ascii="Verdana" w:hAnsi="Verdana"/>
          <w:b/>
        </w:rPr>
        <w:t>7.2.</w:t>
      </w:r>
      <w:proofErr w:type="spellStart"/>
      <w:r w:rsidRPr="00370701">
        <w:rPr>
          <w:rFonts w:ascii="Verdana" w:hAnsi="Verdana"/>
          <w:b/>
        </w:rPr>
        <w:t>2</w:t>
      </w:r>
      <w:proofErr w:type="spellEnd"/>
      <w:r w:rsidRPr="00370701">
        <w:rPr>
          <w:rFonts w:ascii="Verdana" w:hAnsi="Verdana"/>
          <w:b/>
        </w:rPr>
        <w:t xml:space="preserve">. </w:t>
      </w:r>
      <w:r w:rsidR="00D102FE" w:rsidRPr="00370701">
        <w:rPr>
          <w:rFonts w:ascii="Verdana" w:hAnsi="Verdana"/>
          <w:b/>
        </w:rPr>
        <w:t xml:space="preserve"> Уча</w:t>
      </w:r>
      <w:r w:rsidR="00243BA4" w:rsidRPr="00370701">
        <w:rPr>
          <w:rFonts w:ascii="Verdana" w:hAnsi="Verdana"/>
          <w:b/>
        </w:rPr>
        <w:t xml:space="preserve">стникът следва да разполага с </w:t>
      </w:r>
      <w:r w:rsidR="00D102FE" w:rsidRPr="00370701">
        <w:rPr>
          <w:rFonts w:ascii="Verdana" w:hAnsi="Verdana"/>
          <w:b/>
        </w:rPr>
        <w:t xml:space="preserve">персонал, </w:t>
      </w:r>
      <w:r w:rsidR="00243BA4" w:rsidRPr="00370701">
        <w:rPr>
          <w:rFonts w:ascii="Verdana" w:eastAsia="Arial Unicode MS" w:hAnsi="Verdana" w:cs="Arial Unicode MS"/>
          <w:color w:val="000000"/>
          <w:lang w:eastAsia="bg-BG"/>
        </w:rPr>
        <w:t>съставен от следните специалисти,</w:t>
      </w:r>
      <w:r w:rsidR="00243BA4" w:rsidRPr="00370701">
        <w:rPr>
          <w:rFonts w:ascii="Verdana" w:hAnsi="Verdana"/>
          <w:b/>
        </w:rPr>
        <w:t xml:space="preserve"> </w:t>
      </w:r>
      <w:r w:rsidR="00D102FE" w:rsidRPr="00370701">
        <w:rPr>
          <w:rFonts w:ascii="Verdana" w:hAnsi="Verdana"/>
          <w:b/>
        </w:rPr>
        <w:t>който ще отговаря за изпълнението на поръчката:</w:t>
      </w:r>
    </w:p>
    <w:p w:rsidR="007B2763" w:rsidRPr="00370701" w:rsidRDefault="007B2763" w:rsidP="00AD407E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Verdana" w:eastAsia="Calibri" w:hAnsi="Verdana" w:cs="TimesNewRomanPSMT"/>
        </w:rPr>
      </w:pPr>
      <w:r w:rsidRPr="00370701">
        <w:rPr>
          <w:rFonts w:ascii="Verdana" w:eastAsia="Arial Unicode MS" w:hAnsi="Verdana" w:cs="Arial Unicode MS"/>
          <w:b/>
          <w:lang w:eastAsia="bg-BG"/>
        </w:rPr>
        <w:t>Експерт: „</w:t>
      </w:r>
      <w:proofErr w:type="spellStart"/>
      <w:r w:rsidRPr="00370701">
        <w:rPr>
          <w:rFonts w:ascii="Verdana" w:eastAsia="Arial Unicode MS" w:hAnsi="Verdana" w:cs="Arial Unicode MS"/>
          <w:b/>
          <w:lang w:eastAsia="bg-BG"/>
        </w:rPr>
        <w:t>Маркшайдер</w:t>
      </w:r>
      <w:proofErr w:type="spellEnd"/>
      <w:r w:rsidRPr="00370701">
        <w:rPr>
          <w:rFonts w:ascii="Verdana" w:eastAsia="Arial Unicode MS" w:hAnsi="Verdana" w:cs="Arial Unicode MS"/>
          <w:b/>
          <w:lang w:eastAsia="bg-BG"/>
        </w:rPr>
        <w:t>“,</w:t>
      </w:r>
      <w:r w:rsidRPr="00370701">
        <w:rPr>
          <w:rFonts w:ascii="Verdana" w:eastAsia="Arial Unicode MS" w:hAnsi="Verdana" w:cs="Arial Unicode MS"/>
          <w:lang w:eastAsia="bg-BG"/>
        </w:rPr>
        <w:t xml:space="preserve"> притежаващ висше образование с минимална образователно-квалификационна степен „магистър” или „бакалавър“ или еквивалентна образователна степен, в случаите, когато е придобита в чужбина. Област на висше образование </w:t>
      </w:r>
      <w:r w:rsidRPr="00370701">
        <w:rPr>
          <w:rFonts w:ascii="Verdana" w:eastAsia="Times New Roman" w:hAnsi="Verdana" w:cs="Times New Roman"/>
          <w:lang w:eastAsia="bg-BG"/>
        </w:rPr>
        <w:t>„Технически науки“</w:t>
      </w:r>
      <w:r w:rsidRPr="00370701">
        <w:rPr>
          <w:rFonts w:ascii="Verdana" w:eastAsia="Arial Unicode MS" w:hAnsi="Verdana" w:cs="Arial Unicode MS"/>
          <w:lang w:eastAsia="bg-BG"/>
        </w:rPr>
        <w:t xml:space="preserve"> с професионално направление „Проучване, добив и обработка на полезни изкопаеми“ </w:t>
      </w:r>
      <w:r w:rsidRPr="00370701">
        <w:rPr>
          <w:rFonts w:ascii="Verdana" w:eastAsia="Calibri" w:hAnsi="Verdana" w:cs="Times New Roman"/>
        </w:rPr>
        <w:t>съгласно Класификатора на областите на висше образование и професионалните направления, утвърден с Постановление № 125 на Министерския съвет от 24.06.2002 г. за утвърждаване класификатор на областите на висше образование и професионални направления или еквивалентна</w:t>
      </w:r>
      <w:r w:rsidRPr="00370701">
        <w:rPr>
          <w:rFonts w:ascii="Verdana" w:eastAsia="Arial Unicode MS" w:hAnsi="Verdana" w:cs="Arial Unicode MS"/>
          <w:lang w:eastAsia="bg-BG"/>
        </w:rPr>
        <w:t xml:space="preserve"> </w:t>
      </w:r>
      <w:r w:rsidRPr="00370701">
        <w:rPr>
          <w:rFonts w:ascii="Verdana" w:eastAsia="Times New Roman" w:hAnsi="Verdana" w:cs="Times New Roman"/>
          <w:lang w:eastAsia="bg-BG"/>
        </w:rPr>
        <w:t>(</w:t>
      </w:r>
      <w:r w:rsidRPr="00370701">
        <w:rPr>
          <w:rFonts w:ascii="Verdana" w:eastAsia="Arial Unicode MS" w:hAnsi="Verdana" w:cs="Arial Unicode MS"/>
          <w:lang w:eastAsia="bg-BG"/>
        </w:rPr>
        <w:t xml:space="preserve">в случаите, когато е придобито в чужбина), </w:t>
      </w:r>
      <w:r w:rsidRPr="00370701">
        <w:rPr>
          <w:rFonts w:ascii="Verdana" w:eastAsia="Times New Roman" w:hAnsi="Verdana" w:cs="Times New Roman"/>
          <w:lang w:eastAsia="bg-BG"/>
        </w:rPr>
        <w:t xml:space="preserve">по специалност </w:t>
      </w:r>
      <w:r w:rsidRPr="00370701">
        <w:rPr>
          <w:rFonts w:ascii="Verdana" w:eastAsia="Calibri" w:hAnsi="Verdana" w:cs="TimesNewRomanPSMT"/>
        </w:rPr>
        <w:t>„</w:t>
      </w:r>
      <w:proofErr w:type="spellStart"/>
      <w:r w:rsidRPr="00370701">
        <w:rPr>
          <w:rFonts w:ascii="Verdana" w:eastAsia="Calibri" w:hAnsi="Verdana" w:cs="TimesNewRomanPSMT"/>
        </w:rPr>
        <w:t>Маркшайдерство</w:t>
      </w:r>
      <w:proofErr w:type="spellEnd"/>
      <w:r w:rsidRPr="00370701">
        <w:rPr>
          <w:rFonts w:ascii="Verdana" w:eastAsia="Calibri" w:hAnsi="Verdana" w:cs="TimesNewRomanPSMT"/>
        </w:rPr>
        <w:t xml:space="preserve"> и геодезия“ или еквивалентна, </w:t>
      </w:r>
      <w:r w:rsidRPr="00370701">
        <w:rPr>
          <w:rFonts w:ascii="Verdana" w:eastAsia="Arial Unicode MS" w:hAnsi="Verdana" w:cs="Arial Unicode MS"/>
          <w:color w:val="000000"/>
          <w:lang w:eastAsia="bg-BG"/>
        </w:rPr>
        <w:t>в случаите, когато е придобита в чужбина</w:t>
      </w:r>
      <w:r w:rsidRPr="00370701">
        <w:rPr>
          <w:rFonts w:ascii="Verdana" w:eastAsia="Calibri" w:hAnsi="Verdana" w:cs="TimesNewRomanPSMT"/>
        </w:rPr>
        <w:t>.</w:t>
      </w:r>
    </w:p>
    <w:p w:rsidR="007B2763" w:rsidRPr="00370701" w:rsidRDefault="007B2763" w:rsidP="00AD407E">
      <w:pPr>
        <w:tabs>
          <w:tab w:val="left" w:pos="2127"/>
        </w:tabs>
        <w:spacing w:after="0" w:line="360" w:lineRule="auto"/>
        <w:ind w:firstLine="840"/>
        <w:contextualSpacing/>
        <w:jc w:val="both"/>
        <w:rPr>
          <w:rFonts w:ascii="Verdana" w:eastAsia="Calibri" w:hAnsi="Verdana" w:cs="Times New Roman"/>
        </w:rPr>
      </w:pPr>
      <w:r w:rsidRPr="00370701">
        <w:rPr>
          <w:rFonts w:ascii="Verdana" w:eastAsia="Calibri" w:hAnsi="Verdana" w:cs="Times New Roman"/>
        </w:rPr>
        <w:t xml:space="preserve">Трябва да притежава не по-малко от 3 (три) години стаж по съответната специалност и опит в изпълнението на една от следните дейности: </w:t>
      </w:r>
    </w:p>
    <w:p w:rsidR="007B2763" w:rsidRPr="00370701" w:rsidRDefault="007B2763" w:rsidP="00AD407E">
      <w:pPr>
        <w:numPr>
          <w:ilvl w:val="1"/>
          <w:numId w:val="14"/>
        </w:numPr>
        <w:tabs>
          <w:tab w:val="left" w:pos="1276"/>
        </w:tabs>
        <w:spacing w:after="0" w:line="360" w:lineRule="auto"/>
        <w:ind w:left="1276" w:hanging="425"/>
        <w:contextualSpacing/>
        <w:jc w:val="both"/>
        <w:rPr>
          <w:rFonts w:ascii="Verdana" w:eastAsia="Calibri" w:hAnsi="Verdana" w:cs="Times New Roman"/>
        </w:rPr>
      </w:pPr>
      <w:proofErr w:type="spellStart"/>
      <w:r w:rsidRPr="00370701">
        <w:rPr>
          <w:rFonts w:ascii="Verdana" w:eastAsia="Calibri" w:hAnsi="Verdana" w:cs="Times New Roman"/>
        </w:rPr>
        <w:t>маркшайдерски</w:t>
      </w:r>
      <w:proofErr w:type="spellEnd"/>
      <w:r w:rsidRPr="00370701">
        <w:rPr>
          <w:rFonts w:ascii="Verdana" w:eastAsia="Calibri" w:hAnsi="Verdana" w:cs="Times New Roman"/>
        </w:rPr>
        <w:t xml:space="preserve"> заснемания на открити или подземни минни или </w:t>
      </w:r>
      <w:proofErr w:type="spellStart"/>
      <w:r w:rsidRPr="00370701">
        <w:rPr>
          <w:rFonts w:ascii="Verdana" w:eastAsia="Calibri" w:hAnsi="Verdana" w:cs="Times New Roman"/>
        </w:rPr>
        <w:t>добивни</w:t>
      </w:r>
      <w:proofErr w:type="spellEnd"/>
      <w:r w:rsidRPr="00370701">
        <w:rPr>
          <w:rFonts w:ascii="Verdana" w:eastAsia="Calibri" w:hAnsi="Verdana" w:cs="Times New Roman"/>
        </w:rPr>
        <w:t xml:space="preserve"> изработки, открити рудници или кариери;</w:t>
      </w:r>
    </w:p>
    <w:p w:rsidR="007B2763" w:rsidRPr="00370701" w:rsidRDefault="007B2763" w:rsidP="00AD407E">
      <w:pPr>
        <w:numPr>
          <w:ilvl w:val="1"/>
          <w:numId w:val="14"/>
        </w:numPr>
        <w:tabs>
          <w:tab w:val="left" w:pos="1276"/>
        </w:tabs>
        <w:spacing w:after="0" w:line="360" w:lineRule="auto"/>
        <w:ind w:left="1276" w:hanging="425"/>
        <w:contextualSpacing/>
        <w:jc w:val="both"/>
        <w:rPr>
          <w:rFonts w:ascii="Verdana" w:eastAsia="Calibri" w:hAnsi="Verdana" w:cs="Times New Roman"/>
        </w:rPr>
      </w:pPr>
      <w:proofErr w:type="spellStart"/>
      <w:r w:rsidRPr="00370701">
        <w:rPr>
          <w:rFonts w:ascii="Verdana" w:eastAsia="Calibri" w:hAnsi="Verdana" w:cs="Times New Roman"/>
        </w:rPr>
        <w:t>геодезически</w:t>
      </w:r>
      <w:proofErr w:type="spellEnd"/>
      <w:r w:rsidRPr="00370701">
        <w:rPr>
          <w:rFonts w:ascii="Verdana" w:eastAsia="Calibri" w:hAnsi="Verdana" w:cs="Times New Roman"/>
        </w:rPr>
        <w:t xml:space="preserve"> замервания;</w:t>
      </w:r>
    </w:p>
    <w:p w:rsidR="007B2763" w:rsidRPr="00370701" w:rsidRDefault="007B2763" w:rsidP="00AD407E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Verdana" w:eastAsia="Calibri" w:hAnsi="Verdana" w:cs="TimesNewRomanPSMT"/>
        </w:rPr>
      </w:pPr>
      <w:r w:rsidRPr="00370701">
        <w:rPr>
          <w:rFonts w:ascii="Verdana" w:eastAsia="Arial Unicode MS" w:hAnsi="Verdana" w:cs="Arial Unicode MS"/>
          <w:b/>
          <w:color w:val="000000"/>
          <w:lang w:eastAsia="bg-BG"/>
        </w:rPr>
        <w:t xml:space="preserve">Експерт: </w:t>
      </w:r>
      <w:r w:rsidRPr="00370701">
        <w:rPr>
          <w:rFonts w:ascii="Verdana" w:hAnsi="Verdana" w:cs="TimesNewRomanPSMT"/>
        </w:rPr>
        <w:t>„</w:t>
      </w:r>
      <w:proofErr w:type="spellStart"/>
      <w:r w:rsidRPr="00370701">
        <w:rPr>
          <w:rFonts w:ascii="Verdana" w:hAnsi="Verdana" w:cs="TimesNewRomanPSMT"/>
        </w:rPr>
        <w:t>Маркшайдер</w:t>
      </w:r>
      <w:proofErr w:type="spellEnd"/>
      <w:r w:rsidRPr="00370701">
        <w:rPr>
          <w:rFonts w:ascii="Verdana" w:hAnsi="Verdana" w:cs="TimesNewRomanPSMT"/>
        </w:rPr>
        <w:t xml:space="preserve">“, „Геодезист“ или „Минен инженер“, </w:t>
      </w:r>
      <w:r w:rsidRPr="00370701">
        <w:rPr>
          <w:rFonts w:ascii="Verdana" w:eastAsia="Arial Unicode MS" w:hAnsi="Verdana" w:cs="Arial Unicode MS"/>
          <w:lang w:eastAsia="bg-BG"/>
        </w:rPr>
        <w:t xml:space="preserve">притежаващ висше образование с минимална образователно-квалификационна степен „магистър” или „бакалавър“ или еквивалентна образователна степен, в случаите, когато е придобита в чужбина. </w:t>
      </w:r>
    </w:p>
    <w:p w:rsidR="007B2763" w:rsidRPr="00370701" w:rsidRDefault="007B2763" w:rsidP="00AD407E">
      <w:pPr>
        <w:spacing w:after="0" w:line="360" w:lineRule="auto"/>
        <w:ind w:firstLine="709"/>
        <w:jc w:val="both"/>
        <w:rPr>
          <w:rFonts w:ascii="Verdana" w:eastAsia="Calibri" w:hAnsi="Verdana" w:cs="TimesNewRomanPSMT"/>
        </w:rPr>
      </w:pPr>
      <w:r w:rsidRPr="00370701">
        <w:rPr>
          <w:rFonts w:ascii="Verdana" w:eastAsia="Arial Unicode MS" w:hAnsi="Verdana" w:cs="Arial Unicode MS"/>
          <w:lang w:eastAsia="bg-BG"/>
        </w:rPr>
        <w:lastRenderedPageBreak/>
        <w:t xml:space="preserve">В случай, че експертът е </w:t>
      </w:r>
      <w:r w:rsidRPr="00370701">
        <w:rPr>
          <w:rFonts w:ascii="Verdana" w:eastAsia="Arial Unicode MS" w:hAnsi="Verdana" w:cs="Arial Unicode MS"/>
          <w:b/>
          <w:lang w:eastAsia="bg-BG"/>
        </w:rPr>
        <w:t>„</w:t>
      </w:r>
      <w:proofErr w:type="spellStart"/>
      <w:r w:rsidRPr="00370701">
        <w:rPr>
          <w:rFonts w:ascii="Verdana" w:eastAsia="Arial Unicode MS" w:hAnsi="Verdana" w:cs="Arial Unicode MS"/>
          <w:b/>
          <w:lang w:eastAsia="bg-BG"/>
        </w:rPr>
        <w:t>маркшайдер</w:t>
      </w:r>
      <w:proofErr w:type="spellEnd"/>
      <w:r w:rsidRPr="00370701">
        <w:rPr>
          <w:rFonts w:ascii="Verdana" w:eastAsia="Arial Unicode MS" w:hAnsi="Verdana" w:cs="Arial Unicode MS"/>
          <w:b/>
          <w:lang w:eastAsia="bg-BG"/>
        </w:rPr>
        <w:t>“</w:t>
      </w:r>
      <w:r w:rsidRPr="00370701">
        <w:rPr>
          <w:rFonts w:ascii="Verdana" w:eastAsia="Arial Unicode MS" w:hAnsi="Verdana" w:cs="Arial Unicode MS"/>
          <w:lang w:eastAsia="bg-BG"/>
        </w:rPr>
        <w:t xml:space="preserve"> – да има придобито висше образование в област на висше образование </w:t>
      </w:r>
      <w:r w:rsidRPr="00370701">
        <w:rPr>
          <w:rFonts w:ascii="Verdana" w:eastAsia="Times New Roman" w:hAnsi="Verdana" w:cs="Times New Roman"/>
          <w:lang w:eastAsia="bg-BG"/>
        </w:rPr>
        <w:t>„Технически науки“</w:t>
      </w:r>
      <w:r w:rsidRPr="00370701">
        <w:rPr>
          <w:rFonts w:ascii="Verdana" w:eastAsia="Arial Unicode MS" w:hAnsi="Verdana" w:cs="Arial Unicode MS"/>
          <w:lang w:eastAsia="bg-BG"/>
        </w:rPr>
        <w:t xml:space="preserve"> с професионално направление „Проучване, добив и обработка на полезни изкопаеми“ </w:t>
      </w:r>
      <w:r w:rsidRPr="00370701">
        <w:rPr>
          <w:rFonts w:ascii="Verdana" w:eastAsia="Calibri" w:hAnsi="Verdana" w:cs="Times New Roman"/>
        </w:rPr>
        <w:t>съгласно Класификатора на областите на висше образование и професионалните направления, утвърден с Постановление № 125 на Министерския съвет от 24.06.2002 г. за утвърждаване класификатор на областите на висше образование и професионални направления или еквивалентна</w:t>
      </w:r>
      <w:r w:rsidRPr="00370701">
        <w:rPr>
          <w:rFonts w:ascii="Verdana" w:eastAsia="Arial Unicode MS" w:hAnsi="Verdana" w:cs="Arial Unicode MS"/>
          <w:lang w:eastAsia="bg-BG"/>
        </w:rPr>
        <w:t xml:space="preserve"> </w:t>
      </w:r>
      <w:r w:rsidRPr="00370701">
        <w:rPr>
          <w:rFonts w:ascii="Verdana" w:eastAsia="Times New Roman" w:hAnsi="Verdana" w:cs="Times New Roman"/>
          <w:lang w:eastAsia="bg-BG"/>
        </w:rPr>
        <w:t>(</w:t>
      </w:r>
      <w:r w:rsidRPr="00370701">
        <w:rPr>
          <w:rFonts w:ascii="Verdana" w:eastAsia="Arial Unicode MS" w:hAnsi="Verdana" w:cs="Arial Unicode MS"/>
          <w:lang w:eastAsia="bg-BG"/>
        </w:rPr>
        <w:t xml:space="preserve">в случаите, когато е придобито в чужбина), </w:t>
      </w:r>
      <w:r w:rsidRPr="00370701">
        <w:rPr>
          <w:rFonts w:ascii="Verdana" w:eastAsia="Times New Roman" w:hAnsi="Verdana" w:cs="Times New Roman"/>
          <w:lang w:eastAsia="bg-BG"/>
        </w:rPr>
        <w:t xml:space="preserve">по специалност </w:t>
      </w:r>
      <w:r w:rsidRPr="00370701">
        <w:rPr>
          <w:rFonts w:ascii="Verdana" w:eastAsia="Calibri" w:hAnsi="Verdana" w:cs="TimesNewRomanPSMT"/>
        </w:rPr>
        <w:t>„</w:t>
      </w:r>
      <w:proofErr w:type="spellStart"/>
      <w:r w:rsidRPr="00370701">
        <w:rPr>
          <w:rFonts w:ascii="Verdana" w:eastAsia="Calibri" w:hAnsi="Verdana" w:cs="TimesNewRomanPSMT"/>
        </w:rPr>
        <w:t>Маркшайдерство</w:t>
      </w:r>
      <w:proofErr w:type="spellEnd"/>
      <w:r w:rsidRPr="00370701">
        <w:rPr>
          <w:rFonts w:ascii="Verdana" w:eastAsia="Calibri" w:hAnsi="Verdana" w:cs="TimesNewRomanPSMT"/>
        </w:rPr>
        <w:t xml:space="preserve"> и геодезия“ или еквивалентна, </w:t>
      </w:r>
      <w:r w:rsidRPr="00370701">
        <w:rPr>
          <w:rFonts w:ascii="Verdana" w:eastAsia="Arial Unicode MS" w:hAnsi="Verdana" w:cs="Arial Unicode MS"/>
          <w:color w:val="000000"/>
          <w:lang w:eastAsia="bg-BG"/>
        </w:rPr>
        <w:t>в случаите, когато е придобита в чужбина</w:t>
      </w:r>
      <w:r w:rsidRPr="00370701">
        <w:rPr>
          <w:rFonts w:ascii="Verdana" w:eastAsia="Calibri" w:hAnsi="Verdana" w:cs="TimesNewRomanPSMT"/>
        </w:rPr>
        <w:t>.</w:t>
      </w:r>
    </w:p>
    <w:p w:rsidR="007B2763" w:rsidRPr="00370701" w:rsidRDefault="007B2763" w:rsidP="00AD407E">
      <w:pPr>
        <w:tabs>
          <w:tab w:val="left" w:pos="2127"/>
        </w:tabs>
        <w:spacing w:after="0" w:line="360" w:lineRule="auto"/>
        <w:ind w:firstLine="840"/>
        <w:contextualSpacing/>
        <w:jc w:val="both"/>
        <w:rPr>
          <w:rFonts w:ascii="Verdana" w:eastAsia="Calibri" w:hAnsi="Verdana" w:cs="Times New Roman"/>
        </w:rPr>
      </w:pPr>
      <w:r w:rsidRPr="00370701">
        <w:rPr>
          <w:rFonts w:ascii="Verdana" w:eastAsia="Calibri" w:hAnsi="Verdana" w:cs="Times New Roman"/>
        </w:rPr>
        <w:t>Експертът „</w:t>
      </w:r>
      <w:proofErr w:type="spellStart"/>
      <w:r w:rsidRPr="00370701">
        <w:rPr>
          <w:rFonts w:ascii="Verdana" w:eastAsia="Calibri" w:hAnsi="Verdana" w:cs="Times New Roman"/>
        </w:rPr>
        <w:t>маркшайдер</w:t>
      </w:r>
      <w:proofErr w:type="spellEnd"/>
      <w:r w:rsidRPr="00370701">
        <w:rPr>
          <w:rFonts w:ascii="Verdana" w:eastAsia="Calibri" w:hAnsi="Verdana" w:cs="Times New Roman"/>
        </w:rPr>
        <w:t xml:space="preserve">“ е необходимо да притежава не по-малко от 3 (три) години стаж по съответната специалност и опит в изпълнението на една от следните дейности: </w:t>
      </w:r>
    </w:p>
    <w:p w:rsidR="007B2763" w:rsidRPr="00370701" w:rsidRDefault="007B2763" w:rsidP="00AD407E">
      <w:pPr>
        <w:numPr>
          <w:ilvl w:val="1"/>
          <w:numId w:val="14"/>
        </w:numPr>
        <w:tabs>
          <w:tab w:val="left" w:pos="1276"/>
        </w:tabs>
        <w:spacing w:after="0" w:line="360" w:lineRule="auto"/>
        <w:ind w:left="1276" w:hanging="425"/>
        <w:contextualSpacing/>
        <w:jc w:val="both"/>
        <w:rPr>
          <w:rFonts w:ascii="Verdana" w:eastAsia="Calibri" w:hAnsi="Verdana" w:cs="Times New Roman"/>
        </w:rPr>
      </w:pPr>
      <w:proofErr w:type="spellStart"/>
      <w:r w:rsidRPr="00370701">
        <w:rPr>
          <w:rFonts w:ascii="Verdana" w:eastAsia="Calibri" w:hAnsi="Verdana" w:cs="Times New Roman"/>
        </w:rPr>
        <w:t>маркшайдерски</w:t>
      </w:r>
      <w:proofErr w:type="spellEnd"/>
      <w:r w:rsidRPr="00370701">
        <w:rPr>
          <w:rFonts w:ascii="Verdana" w:eastAsia="Calibri" w:hAnsi="Verdana" w:cs="Times New Roman"/>
        </w:rPr>
        <w:t xml:space="preserve"> заснемания на открити или подземни минни или </w:t>
      </w:r>
      <w:proofErr w:type="spellStart"/>
      <w:r w:rsidRPr="00370701">
        <w:rPr>
          <w:rFonts w:ascii="Verdana" w:eastAsia="Calibri" w:hAnsi="Verdana" w:cs="Times New Roman"/>
        </w:rPr>
        <w:t>добивни</w:t>
      </w:r>
      <w:proofErr w:type="spellEnd"/>
      <w:r w:rsidRPr="00370701">
        <w:rPr>
          <w:rFonts w:ascii="Verdana" w:eastAsia="Calibri" w:hAnsi="Verdana" w:cs="Times New Roman"/>
        </w:rPr>
        <w:t xml:space="preserve"> изработки, открити рудници или кариери;</w:t>
      </w:r>
    </w:p>
    <w:p w:rsidR="007B2763" w:rsidRPr="00370701" w:rsidRDefault="007B2763" w:rsidP="00AD407E">
      <w:pPr>
        <w:numPr>
          <w:ilvl w:val="1"/>
          <w:numId w:val="14"/>
        </w:numPr>
        <w:tabs>
          <w:tab w:val="left" w:pos="1276"/>
        </w:tabs>
        <w:spacing w:after="0" w:line="360" w:lineRule="auto"/>
        <w:ind w:left="1276" w:hanging="425"/>
        <w:contextualSpacing/>
        <w:jc w:val="both"/>
        <w:rPr>
          <w:rFonts w:ascii="Verdana" w:eastAsia="Calibri" w:hAnsi="Verdana" w:cs="Times New Roman"/>
        </w:rPr>
      </w:pPr>
      <w:proofErr w:type="spellStart"/>
      <w:r w:rsidRPr="00370701">
        <w:rPr>
          <w:rFonts w:ascii="Verdana" w:eastAsia="Calibri" w:hAnsi="Verdana" w:cs="Times New Roman"/>
        </w:rPr>
        <w:t>геодезически</w:t>
      </w:r>
      <w:proofErr w:type="spellEnd"/>
      <w:r w:rsidRPr="00370701">
        <w:rPr>
          <w:rFonts w:ascii="Verdana" w:eastAsia="Calibri" w:hAnsi="Verdana" w:cs="Times New Roman"/>
        </w:rPr>
        <w:t xml:space="preserve"> замервания;</w:t>
      </w:r>
    </w:p>
    <w:p w:rsidR="007B2763" w:rsidRPr="00370701" w:rsidRDefault="007B2763" w:rsidP="00AD407E">
      <w:pPr>
        <w:spacing w:after="0" w:line="360" w:lineRule="auto"/>
        <w:ind w:firstLine="709"/>
        <w:jc w:val="both"/>
        <w:rPr>
          <w:rFonts w:ascii="Verdana" w:eastAsia="Calibri" w:hAnsi="Verdana" w:cs="TimesNewRomanPSMT"/>
        </w:rPr>
      </w:pPr>
      <w:r w:rsidRPr="00370701">
        <w:rPr>
          <w:rFonts w:ascii="Verdana" w:eastAsia="Arial Unicode MS" w:hAnsi="Verdana" w:cs="Arial Unicode MS"/>
          <w:lang w:eastAsia="bg-BG"/>
        </w:rPr>
        <w:t xml:space="preserve"> В случай, че експертът е </w:t>
      </w:r>
      <w:r w:rsidRPr="00370701">
        <w:rPr>
          <w:rFonts w:ascii="Verdana" w:eastAsia="Arial Unicode MS" w:hAnsi="Verdana" w:cs="Arial Unicode MS"/>
          <w:b/>
          <w:lang w:eastAsia="bg-BG"/>
        </w:rPr>
        <w:t>„геодезист“</w:t>
      </w:r>
      <w:r w:rsidRPr="00370701">
        <w:rPr>
          <w:rFonts w:ascii="Verdana" w:eastAsia="Arial Unicode MS" w:hAnsi="Verdana" w:cs="Arial Unicode MS"/>
          <w:lang w:eastAsia="bg-BG"/>
        </w:rPr>
        <w:t xml:space="preserve"> – да има придобито висше образование в област на висше образование </w:t>
      </w:r>
      <w:r w:rsidRPr="00370701">
        <w:rPr>
          <w:rFonts w:ascii="Verdana" w:eastAsia="Times New Roman" w:hAnsi="Verdana" w:cs="Times New Roman"/>
          <w:lang w:eastAsia="bg-BG"/>
        </w:rPr>
        <w:t>„Технически науки“</w:t>
      </w:r>
      <w:r w:rsidRPr="00370701">
        <w:rPr>
          <w:rFonts w:ascii="Verdana" w:eastAsia="Arial Unicode MS" w:hAnsi="Verdana" w:cs="Arial Unicode MS"/>
          <w:lang w:eastAsia="bg-BG"/>
        </w:rPr>
        <w:t xml:space="preserve"> с професионално направление „Архитектура, строителство и геодезия“</w:t>
      </w:r>
      <w:r w:rsidRPr="00370701">
        <w:rPr>
          <w:rFonts w:ascii="Verdana" w:eastAsia="Calibri" w:hAnsi="Verdana" w:cs="Times New Roman"/>
        </w:rPr>
        <w:t xml:space="preserve"> съгласно Класификатора на областите на висше образование и професионалните направления, утвърден с Постановление № 125 на Министерския съвет от 24.06.2002 г. за утвърждаване класификатор на областите на висше образование и професионални направления или еквивалентна</w:t>
      </w:r>
      <w:r w:rsidRPr="00370701">
        <w:rPr>
          <w:rFonts w:ascii="Verdana" w:eastAsia="Arial Unicode MS" w:hAnsi="Verdana" w:cs="Arial Unicode MS"/>
          <w:lang w:eastAsia="bg-BG"/>
        </w:rPr>
        <w:t xml:space="preserve"> </w:t>
      </w:r>
      <w:r w:rsidRPr="00370701">
        <w:rPr>
          <w:rFonts w:ascii="Verdana" w:eastAsia="Times New Roman" w:hAnsi="Verdana" w:cs="Times New Roman"/>
          <w:lang w:eastAsia="bg-BG"/>
        </w:rPr>
        <w:t>(</w:t>
      </w:r>
      <w:r w:rsidRPr="00370701">
        <w:rPr>
          <w:rFonts w:ascii="Verdana" w:eastAsia="Arial Unicode MS" w:hAnsi="Verdana" w:cs="Arial Unicode MS"/>
          <w:lang w:eastAsia="bg-BG"/>
        </w:rPr>
        <w:t xml:space="preserve">в случаите, когато е придобито в чужбина), </w:t>
      </w:r>
      <w:r w:rsidRPr="00370701">
        <w:rPr>
          <w:rFonts w:ascii="Verdana" w:eastAsia="Times New Roman" w:hAnsi="Verdana" w:cs="Times New Roman"/>
          <w:lang w:eastAsia="bg-BG"/>
        </w:rPr>
        <w:t xml:space="preserve">по специалност „Геодезия“ </w:t>
      </w:r>
      <w:r w:rsidRPr="00370701">
        <w:rPr>
          <w:rFonts w:ascii="Verdana" w:eastAsia="Calibri" w:hAnsi="Verdana" w:cs="TimesNewRomanPSMT"/>
        </w:rPr>
        <w:t xml:space="preserve">или еквивалентна, </w:t>
      </w:r>
      <w:r w:rsidRPr="00370701">
        <w:rPr>
          <w:rFonts w:ascii="Verdana" w:eastAsia="Arial Unicode MS" w:hAnsi="Verdana" w:cs="Arial Unicode MS"/>
          <w:color w:val="000000"/>
          <w:lang w:eastAsia="bg-BG"/>
        </w:rPr>
        <w:t>в случаите, когато е придобита в чужбина</w:t>
      </w:r>
      <w:r w:rsidRPr="00370701">
        <w:rPr>
          <w:rFonts w:ascii="Verdana" w:eastAsia="Calibri" w:hAnsi="Verdana" w:cs="TimesNewRomanPSMT"/>
        </w:rPr>
        <w:t>.</w:t>
      </w:r>
    </w:p>
    <w:p w:rsidR="007B2763" w:rsidRPr="00370701" w:rsidRDefault="007B2763" w:rsidP="00AD407E">
      <w:pPr>
        <w:tabs>
          <w:tab w:val="left" w:pos="2127"/>
        </w:tabs>
        <w:spacing w:after="0" w:line="360" w:lineRule="auto"/>
        <w:ind w:firstLine="840"/>
        <w:contextualSpacing/>
        <w:jc w:val="both"/>
        <w:rPr>
          <w:rFonts w:ascii="Verdana" w:eastAsia="Arial Unicode MS" w:hAnsi="Verdana" w:cs="Arial Unicode MS"/>
          <w:color w:val="000000"/>
          <w:lang w:eastAsia="bg-BG"/>
        </w:rPr>
      </w:pPr>
      <w:r w:rsidRPr="00370701">
        <w:rPr>
          <w:rFonts w:ascii="Verdana" w:eastAsia="Calibri" w:hAnsi="Verdana" w:cs="Times New Roman"/>
        </w:rPr>
        <w:t xml:space="preserve">Експертът „геодезист“ е необходимо да притежава не по-малко от 3 (три) години стаж по съответната специалност и опит в изпълнението на една от следните дейности: </w:t>
      </w:r>
    </w:p>
    <w:p w:rsidR="007B2763" w:rsidRPr="00370701" w:rsidRDefault="007B2763" w:rsidP="00AD407E">
      <w:pPr>
        <w:pStyle w:val="ListParagraph"/>
        <w:numPr>
          <w:ilvl w:val="0"/>
          <w:numId w:val="14"/>
        </w:numPr>
        <w:spacing w:after="0" w:line="360" w:lineRule="auto"/>
        <w:ind w:left="2279"/>
        <w:rPr>
          <w:rFonts w:ascii="Verdana" w:eastAsia="Arial Unicode MS" w:hAnsi="Verdana" w:cs="Arial Unicode MS"/>
          <w:color w:val="000000"/>
          <w:lang w:eastAsia="bg-BG"/>
        </w:rPr>
      </w:pPr>
      <w:r w:rsidRPr="00370701">
        <w:rPr>
          <w:rFonts w:ascii="Verdana" w:eastAsia="Arial Unicode MS" w:hAnsi="Verdana" w:cs="Arial Unicode MS"/>
          <w:color w:val="000000"/>
          <w:lang w:eastAsia="bg-BG"/>
        </w:rPr>
        <w:t xml:space="preserve">провеждане на </w:t>
      </w:r>
      <w:proofErr w:type="spellStart"/>
      <w:r w:rsidRPr="00370701">
        <w:rPr>
          <w:rFonts w:ascii="Verdana" w:eastAsia="Arial Unicode MS" w:hAnsi="Verdana" w:cs="Arial Unicode MS"/>
          <w:color w:val="000000"/>
          <w:lang w:eastAsia="bg-BG"/>
        </w:rPr>
        <w:t>геодезически</w:t>
      </w:r>
      <w:proofErr w:type="spellEnd"/>
      <w:r w:rsidRPr="00370701">
        <w:rPr>
          <w:rFonts w:ascii="Verdana" w:eastAsia="Arial Unicode MS" w:hAnsi="Verdana" w:cs="Arial Unicode MS"/>
          <w:color w:val="000000"/>
          <w:lang w:eastAsia="bg-BG"/>
        </w:rPr>
        <w:t xml:space="preserve"> измервания;</w:t>
      </w:r>
    </w:p>
    <w:p w:rsidR="007B2763" w:rsidRPr="00370701" w:rsidRDefault="007B2763" w:rsidP="00AD407E">
      <w:pPr>
        <w:pStyle w:val="ListParagraph"/>
        <w:numPr>
          <w:ilvl w:val="0"/>
          <w:numId w:val="14"/>
        </w:numPr>
        <w:spacing w:after="0" w:line="360" w:lineRule="auto"/>
        <w:ind w:left="2279"/>
        <w:rPr>
          <w:rFonts w:ascii="Verdana" w:eastAsia="Arial Unicode MS" w:hAnsi="Verdana" w:cs="Arial Unicode MS"/>
          <w:color w:val="000000"/>
          <w:lang w:eastAsia="bg-BG"/>
        </w:rPr>
      </w:pPr>
      <w:r w:rsidRPr="00370701">
        <w:rPr>
          <w:rFonts w:ascii="Verdana" w:eastAsia="Arial Unicode MS" w:hAnsi="Verdana" w:cs="Arial Unicode MS"/>
          <w:color w:val="000000"/>
          <w:lang w:eastAsia="bg-BG"/>
        </w:rPr>
        <w:t>изготвяне на експертизи и доклади;</w:t>
      </w:r>
    </w:p>
    <w:p w:rsidR="007B2763" w:rsidRPr="00370701" w:rsidRDefault="007B2763" w:rsidP="00AD407E">
      <w:pPr>
        <w:pStyle w:val="ListParagraph"/>
        <w:numPr>
          <w:ilvl w:val="0"/>
          <w:numId w:val="14"/>
        </w:numPr>
        <w:spacing w:after="0" w:line="360" w:lineRule="auto"/>
        <w:ind w:left="2279"/>
        <w:rPr>
          <w:rFonts w:ascii="Verdana" w:eastAsia="Arial Unicode MS" w:hAnsi="Verdana" w:cs="Arial Unicode MS"/>
          <w:color w:val="000000"/>
          <w:lang w:eastAsia="bg-BG"/>
        </w:rPr>
      </w:pPr>
      <w:r w:rsidRPr="00370701">
        <w:rPr>
          <w:rFonts w:ascii="Verdana" w:eastAsia="Arial Unicode MS" w:hAnsi="Verdana" w:cs="Arial Unicode MS"/>
          <w:color w:val="000000"/>
          <w:lang w:eastAsia="bg-BG"/>
        </w:rPr>
        <w:t>организация и управление на проекти в</w:t>
      </w:r>
    </w:p>
    <w:p w:rsidR="007B2763" w:rsidRPr="00370701" w:rsidRDefault="007B2763" w:rsidP="00AD407E">
      <w:pPr>
        <w:pStyle w:val="ListParagraph"/>
        <w:spacing w:after="0" w:line="360" w:lineRule="auto"/>
        <w:ind w:left="2279"/>
        <w:rPr>
          <w:rFonts w:ascii="Verdana" w:eastAsia="Arial Unicode MS" w:hAnsi="Verdana" w:cs="Arial Unicode MS"/>
          <w:color w:val="000000"/>
          <w:lang w:eastAsia="bg-BG"/>
        </w:rPr>
      </w:pPr>
      <w:r w:rsidRPr="00370701">
        <w:rPr>
          <w:rFonts w:ascii="Verdana" w:eastAsia="Arial Unicode MS" w:hAnsi="Verdana" w:cs="Arial Unicode MS"/>
          <w:color w:val="000000"/>
          <w:lang w:eastAsia="bg-BG"/>
        </w:rPr>
        <w:t>геодезията, картографията и кадастъра;</w:t>
      </w:r>
    </w:p>
    <w:p w:rsidR="007B2763" w:rsidRPr="00370701" w:rsidRDefault="007B2763" w:rsidP="00AD407E">
      <w:pPr>
        <w:pStyle w:val="ListParagraph"/>
        <w:numPr>
          <w:ilvl w:val="0"/>
          <w:numId w:val="14"/>
        </w:numPr>
        <w:spacing w:after="0" w:line="360" w:lineRule="auto"/>
        <w:ind w:left="2279"/>
        <w:rPr>
          <w:rFonts w:ascii="Verdana" w:eastAsia="Arial Unicode MS" w:hAnsi="Verdana" w:cs="Arial Unicode MS"/>
          <w:color w:val="000000"/>
          <w:lang w:eastAsia="bg-BG"/>
        </w:rPr>
      </w:pPr>
      <w:r w:rsidRPr="00370701">
        <w:rPr>
          <w:rFonts w:ascii="Verdana" w:eastAsia="Arial Unicode MS" w:hAnsi="Verdana" w:cs="Arial Unicode MS"/>
          <w:color w:val="000000"/>
          <w:lang w:eastAsia="bg-BG"/>
        </w:rPr>
        <w:t>разработване на концепции за пространствено развитие,планиране и устройство на териториите;</w:t>
      </w:r>
    </w:p>
    <w:p w:rsidR="007B2763" w:rsidRPr="00370701" w:rsidRDefault="007B2763" w:rsidP="00AD407E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Verdana" w:eastAsia="Calibri" w:hAnsi="Verdana" w:cs="TimesNewRomanPSMT"/>
        </w:rPr>
      </w:pPr>
      <w:r w:rsidRPr="00370701">
        <w:rPr>
          <w:rFonts w:ascii="Verdana" w:eastAsia="Calibri" w:hAnsi="Verdana" w:cs="TimesNewRomanPSMT"/>
        </w:rPr>
        <w:t xml:space="preserve">В </w:t>
      </w:r>
      <w:r w:rsidRPr="00370701">
        <w:rPr>
          <w:rFonts w:ascii="Verdana" w:eastAsia="Arial Unicode MS" w:hAnsi="Verdana" w:cs="Arial Unicode MS"/>
          <w:lang w:eastAsia="bg-BG"/>
        </w:rPr>
        <w:t xml:space="preserve">случай, че експертът е </w:t>
      </w:r>
      <w:r w:rsidRPr="00370701">
        <w:rPr>
          <w:rFonts w:ascii="Verdana" w:eastAsia="Arial Unicode MS" w:hAnsi="Verdana" w:cs="Arial Unicode MS"/>
          <w:b/>
          <w:lang w:eastAsia="bg-BG"/>
        </w:rPr>
        <w:t>„минен инженер“</w:t>
      </w:r>
      <w:r w:rsidRPr="00370701">
        <w:rPr>
          <w:rFonts w:ascii="Verdana" w:eastAsia="Arial Unicode MS" w:hAnsi="Verdana" w:cs="Arial Unicode MS"/>
          <w:lang w:eastAsia="bg-BG"/>
        </w:rPr>
        <w:t xml:space="preserve">, същият следва да </w:t>
      </w:r>
      <w:r w:rsidRPr="00370701">
        <w:rPr>
          <w:rFonts w:ascii="Verdana" w:eastAsia="Times New Roman" w:hAnsi="Verdana" w:cs="Times New Roman"/>
          <w:lang w:eastAsia="bg-BG"/>
        </w:rPr>
        <w:t xml:space="preserve">притежава висше образование с минимална образователно-квалификационна </w:t>
      </w:r>
      <w:r w:rsidRPr="00370701">
        <w:rPr>
          <w:rFonts w:ascii="Verdana" w:eastAsia="Times New Roman" w:hAnsi="Verdana" w:cs="Times New Roman"/>
          <w:lang w:eastAsia="bg-BG"/>
        </w:rPr>
        <w:lastRenderedPageBreak/>
        <w:t xml:space="preserve">степен „магистър“ </w:t>
      </w:r>
      <w:r w:rsidRPr="00370701">
        <w:rPr>
          <w:rFonts w:ascii="Verdana" w:eastAsia="Arial Unicode MS" w:hAnsi="Verdana" w:cs="Arial Unicode MS"/>
          <w:color w:val="000000"/>
          <w:lang w:eastAsia="bg-BG"/>
        </w:rPr>
        <w:t xml:space="preserve">или „бакалавър“ или еквивалентна образователна степен, в случаите, когато е придобита в чужбина. </w:t>
      </w:r>
      <w:r w:rsidRPr="00370701">
        <w:rPr>
          <w:rFonts w:ascii="Verdana" w:eastAsia="Times New Roman" w:hAnsi="Verdana" w:cs="Times New Roman"/>
          <w:lang w:eastAsia="bg-BG"/>
        </w:rPr>
        <w:t xml:space="preserve">Област на висше образование „Технически науки“ с професионално направление „Проучване, добив и обработка на полезни изкопаеми“ </w:t>
      </w:r>
      <w:r w:rsidRPr="00370701">
        <w:rPr>
          <w:rFonts w:ascii="Verdana" w:eastAsia="Calibri" w:hAnsi="Verdana" w:cs="Times New Roman"/>
        </w:rPr>
        <w:t>съгласно Класификатора на областите на висше образование и професионалните направления, утвърден с Постановление № 125 на Министерския съвет от 24.06.2002 г. за утвърждаване класификатор на областите на висше образование и професионални направления или еквивалентна</w:t>
      </w:r>
      <w:r w:rsidRPr="00370701">
        <w:rPr>
          <w:rFonts w:ascii="Verdana" w:eastAsia="Times New Roman" w:hAnsi="Verdana" w:cs="Times New Roman"/>
          <w:lang w:eastAsia="bg-BG"/>
        </w:rPr>
        <w:t xml:space="preserve"> (</w:t>
      </w:r>
      <w:r w:rsidRPr="00370701">
        <w:rPr>
          <w:rFonts w:ascii="Verdana" w:eastAsia="Arial Unicode MS" w:hAnsi="Verdana" w:cs="Arial Unicode MS"/>
          <w:color w:val="000000"/>
          <w:lang w:eastAsia="bg-BG"/>
        </w:rPr>
        <w:t>в случаите, когато е придобито в чужбина),</w:t>
      </w:r>
      <w:r w:rsidRPr="00370701">
        <w:rPr>
          <w:rFonts w:ascii="Verdana" w:eastAsia="Times New Roman" w:hAnsi="Verdana" w:cs="Times New Roman"/>
          <w:lang w:eastAsia="bg-BG"/>
        </w:rPr>
        <w:t xml:space="preserve"> по една от следните специалности </w:t>
      </w:r>
      <w:r w:rsidRPr="00370701">
        <w:rPr>
          <w:rFonts w:ascii="Verdana" w:eastAsia="Calibri" w:hAnsi="Verdana" w:cs="TimesNewRomanPSMT"/>
        </w:rPr>
        <w:t xml:space="preserve">„Технология на минното производство“ и/или „Разработване на полезни изкопаеми“ или еквивалентна, </w:t>
      </w:r>
      <w:r w:rsidRPr="00370701">
        <w:rPr>
          <w:rFonts w:ascii="Verdana" w:eastAsia="Arial Unicode MS" w:hAnsi="Verdana" w:cs="Arial Unicode MS"/>
          <w:color w:val="000000"/>
          <w:lang w:eastAsia="bg-BG"/>
        </w:rPr>
        <w:t>в случаите, когато е придобита в чужбина</w:t>
      </w:r>
      <w:r w:rsidRPr="00370701">
        <w:rPr>
          <w:rFonts w:ascii="Verdana" w:eastAsia="Calibri" w:hAnsi="Verdana" w:cs="TimesNewRomanPSMT"/>
        </w:rPr>
        <w:t>.</w:t>
      </w:r>
    </w:p>
    <w:p w:rsidR="007B2763" w:rsidRPr="00370701" w:rsidRDefault="007B2763" w:rsidP="00AD407E">
      <w:pPr>
        <w:tabs>
          <w:tab w:val="left" w:pos="2127"/>
        </w:tabs>
        <w:spacing w:after="0" w:line="360" w:lineRule="auto"/>
        <w:jc w:val="both"/>
        <w:rPr>
          <w:rFonts w:ascii="Verdana" w:eastAsia="Calibri" w:hAnsi="Verdana" w:cs="Times New Roman"/>
        </w:rPr>
      </w:pPr>
      <w:r w:rsidRPr="00370701">
        <w:rPr>
          <w:rFonts w:ascii="Verdana" w:eastAsia="Calibri" w:hAnsi="Verdana" w:cs="Times New Roman"/>
        </w:rPr>
        <w:t xml:space="preserve">            Експертът „минен инженер“ е необходимо да притежава не по-малко от 3 (три) години стаж по съответната специалност и опит в изпълнението на една от следните дейности: </w:t>
      </w:r>
    </w:p>
    <w:p w:rsidR="007B2763" w:rsidRPr="00370701" w:rsidRDefault="007B2763" w:rsidP="00AD407E">
      <w:pPr>
        <w:numPr>
          <w:ilvl w:val="1"/>
          <w:numId w:val="14"/>
        </w:numPr>
        <w:spacing w:after="0" w:line="360" w:lineRule="auto"/>
        <w:ind w:left="1276" w:hanging="567"/>
        <w:contextualSpacing/>
        <w:jc w:val="both"/>
        <w:rPr>
          <w:rFonts w:ascii="Verdana" w:eastAsia="Calibri" w:hAnsi="Verdana" w:cs="Times New Roman"/>
        </w:rPr>
      </w:pPr>
      <w:r w:rsidRPr="00370701">
        <w:rPr>
          <w:rFonts w:ascii="Verdana" w:eastAsia="Calibri" w:hAnsi="Verdana" w:cs="Times New Roman"/>
        </w:rPr>
        <w:t xml:space="preserve">минно планиране; </w:t>
      </w:r>
    </w:p>
    <w:p w:rsidR="007B2763" w:rsidRPr="00370701" w:rsidRDefault="007B2763" w:rsidP="00AD407E">
      <w:pPr>
        <w:numPr>
          <w:ilvl w:val="1"/>
          <w:numId w:val="14"/>
        </w:numPr>
        <w:spacing w:after="0" w:line="360" w:lineRule="auto"/>
        <w:ind w:left="1276" w:hanging="567"/>
        <w:contextualSpacing/>
        <w:jc w:val="both"/>
        <w:rPr>
          <w:rFonts w:ascii="Verdana" w:eastAsia="Calibri" w:hAnsi="Verdana" w:cs="Times New Roman"/>
        </w:rPr>
      </w:pPr>
      <w:r w:rsidRPr="00370701">
        <w:rPr>
          <w:rFonts w:ascii="Verdana" w:eastAsia="Calibri" w:hAnsi="Verdana" w:cs="Times New Roman"/>
        </w:rPr>
        <w:t xml:space="preserve">организация и изпълнение на </w:t>
      </w:r>
      <w:proofErr w:type="spellStart"/>
      <w:r w:rsidRPr="00370701">
        <w:rPr>
          <w:rFonts w:ascii="Verdana" w:eastAsia="Calibri" w:hAnsi="Verdana" w:cs="Times New Roman"/>
        </w:rPr>
        <w:t>добивни</w:t>
      </w:r>
      <w:proofErr w:type="spellEnd"/>
      <w:r w:rsidRPr="00370701">
        <w:rPr>
          <w:rFonts w:ascii="Verdana" w:eastAsia="Calibri" w:hAnsi="Verdana" w:cs="Times New Roman"/>
        </w:rPr>
        <w:t xml:space="preserve"> дейности в минни предприятия;</w:t>
      </w:r>
    </w:p>
    <w:p w:rsidR="007B2763" w:rsidRPr="00370701" w:rsidRDefault="007B2763" w:rsidP="00AD407E">
      <w:pPr>
        <w:numPr>
          <w:ilvl w:val="1"/>
          <w:numId w:val="14"/>
        </w:numPr>
        <w:spacing w:after="0" w:line="360" w:lineRule="auto"/>
        <w:ind w:left="1276" w:hanging="567"/>
        <w:contextualSpacing/>
        <w:jc w:val="both"/>
        <w:rPr>
          <w:rFonts w:ascii="Verdana" w:eastAsia="Calibri" w:hAnsi="Verdana" w:cs="Times New Roman"/>
        </w:rPr>
      </w:pPr>
      <w:r w:rsidRPr="00370701">
        <w:rPr>
          <w:rFonts w:ascii="Verdana" w:eastAsia="Calibri" w:hAnsi="Verdana" w:cs="Times New Roman"/>
        </w:rPr>
        <w:t xml:space="preserve">проектиране и/или строителство и/или управление на </w:t>
      </w:r>
      <w:proofErr w:type="spellStart"/>
      <w:r w:rsidRPr="00370701">
        <w:rPr>
          <w:rFonts w:ascii="Verdana" w:eastAsia="Calibri" w:hAnsi="Verdana" w:cs="Times New Roman"/>
        </w:rPr>
        <w:t>минно-добивни</w:t>
      </w:r>
      <w:proofErr w:type="spellEnd"/>
      <w:r w:rsidRPr="00370701">
        <w:rPr>
          <w:rFonts w:ascii="Verdana" w:eastAsia="Calibri" w:hAnsi="Verdana" w:cs="Times New Roman"/>
        </w:rPr>
        <w:t xml:space="preserve"> предприятия;</w:t>
      </w:r>
    </w:p>
    <w:p w:rsidR="007B2763" w:rsidRPr="00370701" w:rsidRDefault="007B2763" w:rsidP="00AD407E">
      <w:pPr>
        <w:numPr>
          <w:ilvl w:val="1"/>
          <w:numId w:val="14"/>
        </w:numPr>
        <w:spacing w:after="0" w:line="360" w:lineRule="auto"/>
        <w:ind w:left="1276" w:hanging="567"/>
        <w:contextualSpacing/>
        <w:jc w:val="both"/>
        <w:rPr>
          <w:rFonts w:ascii="Verdana" w:eastAsia="Calibri" w:hAnsi="Verdana" w:cs="Times New Roman"/>
        </w:rPr>
      </w:pPr>
      <w:r w:rsidRPr="00370701">
        <w:rPr>
          <w:rFonts w:ascii="Verdana" w:eastAsia="Calibri" w:hAnsi="Verdana" w:cs="Times New Roman"/>
        </w:rPr>
        <w:t xml:space="preserve">изготвяне на анализи на производствени и технологични процеси в </w:t>
      </w:r>
      <w:proofErr w:type="spellStart"/>
      <w:r w:rsidRPr="00370701">
        <w:rPr>
          <w:rFonts w:ascii="Verdana" w:eastAsia="Calibri" w:hAnsi="Verdana" w:cs="Times New Roman"/>
        </w:rPr>
        <w:t>минно-добивни</w:t>
      </w:r>
      <w:proofErr w:type="spellEnd"/>
      <w:r w:rsidRPr="00370701">
        <w:rPr>
          <w:rFonts w:ascii="Verdana" w:eastAsia="Calibri" w:hAnsi="Verdana" w:cs="Times New Roman"/>
        </w:rPr>
        <w:t xml:space="preserve"> предприятия.</w:t>
      </w:r>
    </w:p>
    <w:p w:rsidR="007B2763" w:rsidRDefault="007B2763" w:rsidP="00AD407E">
      <w:pPr>
        <w:spacing w:after="0" w:line="360" w:lineRule="auto"/>
        <w:ind w:left="20" w:firstLine="700"/>
        <w:jc w:val="both"/>
        <w:rPr>
          <w:rFonts w:ascii="Verdana" w:hAnsi="Verdana" w:cs="TimesNewRomanPSMT"/>
        </w:rPr>
      </w:pPr>
      <w:r w:rsidRPr="00370701">
        <w:rPr>
          <w:rFonts w:ascii="Verdana" w:eastAsia="Arial Unicode MS" w:hAnsi="Verdana" w:cs="Arial Unicode MS"/>
          <w:color w:val="000000"/>
          <w:lang w:eastAsia="bg-BG"/>
        </w:rPr>
        <w:t>Задължително изискване е поне единият експерт да бъде „</w:t>
      </w:r>
      <w:proofErr w:type="spellStart"/>
      <w:r w:rsidRPr="00370701">
        <w:rPr>
          <w:rFonts w:ascii="Verdana" w:eastAsia="Arial Unicode MS" w:hAnsi="Verdana" w:cs="Arial Unicode MS"/>
          <w:color w:val="000000"/>
          <w:lang w:eastAsia="bg-BG"/>
        </w:rPr>
        <w:t>Маркшайдер</w:t>
      </w:r>
      <w:proofErr w:type="spellEnd"/>
      <w:r w:rsidRPr="00370701">
        <w:rPr>
          <w:rFonts w:ascii="Verdana" w:eastAsia="Arial Unicode MS" w:hAnsi="Verdana" w:cs="Arial Unicode MS"/>
          <w:color w:val="000000"/>
          <w:lang w:eastAsia="bg-BG"/>
        </w:rPr>
        <w:t xml:space="preserve">“, а втория експерт в екипа </w:t>
      </w:r>
      <w:r w:rsidR="00183963">
        <w:rPr>
          <w:rFonts w:ascii="Verdana" w:eastAsia="Arial Unicode MS" w:hAnsi="Verdana" w:cs="Arial Unicode MS"/>
          <w:color w:val="000000"/>
          <w:lang w:eastAsia="bg-BG"/>
        </w:rPr>
        <w:t>е допустимо</w:t>
      </w:r>
      <w:r w:rsidRPr="00370701">
        <w:rPr>
          <w:rFonts w:ascii="Verdana" w:eastAsia="Arial Unicode MS" w:hAnsi="Verdana" w:cs="Arial Unicode MS"/>
          <w:color w:val="000000"/>
          <w:lang w:eastAsia="bg-BG"/>
        </w:rPr>
        <w:t xml:space="preserve"> да бъде </w:t>
      </w:r>
      <w:r w:rsidR="000A2919">
        <w:rPr>
          <w:rFonts w:ascii="Verdana" w:hAnsi="Verdana" w:cs="TimesNewRomanPSMT"/>
        </w:rPr>
        <w:t>„</w:t>
      </w:r>
      <w:proofErr w:type="spellStart"/>
      <w:r w:rsidR="000A2919">
        <w:rPr>
          <w:rFonts w:ascii="Verdana" w:hAnsi="Verdana" w:cs="TimesNewRomanPSMT"/>
        </w:rPr>
        <w:t>Маркшайдер</w:t>
      </w:r>
      <w:proofErr w:type="spellEnd"/>
      <w:r w:rsidR="000A2919">
        <w:rPr>
          <w:rFonts w:ascii="Verdana" w:hAnsi="Verdana" w:cs="TimesNewRomanPSMT"/>
        </w:rPr>
        <w:t>“ или</w:t>
      </w:r>
      <w:r w:rsidRPr="00370701">
        <w:rPr>
          <w:rFonts w:ascii="Verdana" w:hAnsi="Verdana" w:cs="TimesNewRomanPSMT"/>
        </w:rPr>
        <w:t xml:space="preserve"> „Геодезист“ или „Минен инженер“.</w:t>
      </w:r>
    </w:p>
    <w:p w:rsidR="00283F48" w:rsidRPr="00370701" w:rsidRDefault="00283F48" w:rsidP="00AD407E">
      <w:pPr>
        <w:spacing w:after="0" w:line="360" w:lineRule="auto"/>
        <w:ind w:left="20" w:firstLine="700"/>
        <w:jc w:val="both"/>
        <w:rPr>
          <w:rFonts w:ascii="Verdana" w:eastAsia="Arial Unicode MS" w:hAnsi="Verdana" w:cs="Arial Unicode MS"/>
          <w:color w:val="000000"/>
          <w:lang w:eastAsia="bg-BG"/>
        </w:rPr>
      </w:pPr>
    </w:p>
    <w:p w:rsidR="00420A8E" w:rsidRPr="00420A8E" w:rsidRDefault="00420A8E" w:rsidP="00AD407E">
      <w:pPr>
        <w:spacing w:after="0" w:line="360" w:lineRule="auto"/>
        <w:jc w:val="both"/>
        <w:rPr>
          <w:rFonts w:ascii="Verdana" w:hAnsi="Verdana"/>
          <w:b/>
        </w:rPr>
      </w:pPr>
      <w:r w:rsidRPr="00420A8E">
        <w:rPr>
          <w:rFonts w:ascii="Verdana" w:hAnsi="Verdana"/>
          <w:b/>
        </w:rPr>
        <w:t>За доказване на техническите и професионалните способности участникът следва да представи следните документи:</w:t>
      </w:r>
    </w:p>
    <w:p w:rsidR="00243BA4" w:rsidRPr="00243BA4" w:rsidRDefault="00420A8E" w:rsidP="00AD407E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По т. 7.2.1. - </w:t>
      </w:r>
      <w:r w:rsidR="00D74B9B">
        <w:rPr>
          <w:rFonts w:ascii="Verdana" w:hAnsi="Verdana"/>
        </w:rPr>
        <w:t>С</w:t>
      </w:r>
      <w:r w:rsidR="00D74B9B" w:rsidRPr="00D74B9B">
        <w:rPr>
          <w:rFonts w:ascii="Verdana" w:hAnsi="Verdana"/>
        </w:rPr>
        <w:t>писък на услугите, които са идентични или сходни с предмета на поръчката с посочване на стойностите, датите и получателите, заедно с доказателства за извършената дейност</w:t>
      </w:r>
      <w:r w:rsidR="00D74B9B">
        <w:rPr>
          <w:rFonts w:ascii="Verdana" w:hAnsi="Verdana"/>
        </w:rPr>
        <w:t xml:space="preserve"> – по образец.</w:t>
      </w:r>
      <w:r w:rsidR="00243BA4" w:rsidRPr="00243BA4">
        <w:rPr>
          <w:rFonts w:ascii="Verdana" w:hAnsi="Verdana"/>
        </w:rPr>
        <w:t xml:space="preserve"> Участникът следва да посочи услугата/</w:t>
      </w:r>
      <w:proofErr w:type="spellStart"/>
      <w:r w:rsidR="00243BA4" w:rsidRPr="00243BA4">
        <w:rPr>
          <w:rFonts w:ascii="Verdana" w:hAnsi="Verdana"/>
        </w:rPr>
        <w:t>ите</w:t>
      </w:r>
      <w:proofErr w:type="spellEnd"/>
      <w:r w:rsidR="00243BA4" w:rsidRPr="00243BA4">
        <w:rPr>
          <w:rFonts w:ascii="Verdana" w:hAnsi="Verdana"/>
        </w:rPr>
        <w:t>, изпълнена/и през последните три години от датата на подаване на офертата, с предмет идентичен или сходен с този на настоящата обществена поръчка. Информацията следва да включва услуга/и, чието изпълнение е приключило. Информацията следва да съдържа описание на обхвата и обема на услугата/</w:t>
      </w:r>
      <w:proofErr w:type="spellStart"/>
      <w:r w:rsidR="00243BA4" w:rsidRPr="00243BA4">
        <w:rPr>
          <w:rFonts w:ascii="Verdana" w:hAnsi="Verdana"/>
        </w:rPr>
        <w:t>ите</w:t>
      </w:r>
      <w:proofErr w:type="spellEnd"/>
      <w:r w:rsidR="00243BA4" w:rsidRPr="00243BA4">
        <w:rPr>
          <w:rFonts w:ascii="Verdana" w:hAnsi="Verdana"/>
        </w:rPr>
        <w:t>, начална и крайна дата на изпълнението и получателя/</w:t>
      </w:r>
      <w:proofErr w:type="spellStart"/>
      <w:r w:rsidR="00243BA4" w:rsidRPr="00243BA4">
        <w:rPr>
          <w:rFonts w:ascii="Verdana" w:hAnsi="Verdana"/>
        </w:rPr>
        <w:t>ите</w:t>
      </w:r>
      <w:proofErr w:type="spellEnd"/>
      <w:r w:rsidR="00243BA4" w:rsidRPr="00243BA4">
        <w:rPr>
          <w:rFonts w:ascii="Verdana" w:hAnsi="Verdana"/>
        </w:rPr>
        <w:t xml:space="preserve"> (възложителите), независимо дали са публични или частни субекти. </w:t>
      </w:r>
    </w:p>
    <w:p w:rsidR="00243BA4" w:rsidRPr="00243BA4" w:rsidRDefault="00243BA4" w:rsidP="00AD407E">
      <w:pPr>
        <w:spacing w:after="0" w:line="360" w:lineRule="auto"/>
        <w:jc w:val="both"/>
        <w:rPr>
          <w:rFonts w:ascii="Verdana" w:hAnsi="Verdana"/>
        </w:rPr>
      </w:pPr>
      <w:r w:rsidRPr="00243BA4">
        <w:rPr>
          <w:rFonts w:ascii="Verdana" w:hAnsi="Verdana"/>
        </w:rPr>
        <w:lastRenderedPageBreak/>
        <w:t>Когато услугата е изпълнена в обединение и представените от участника доказателства за извършена услуга са издадени на обединението като изпълнител на услугата, в този случай следва да се представи копие от договора/анекса за разпределение на дейностите между членовете на обединението, от който да е видно кои са дейностите, изпълнени от конкретния член на обединението-участник в настоящата процедура.</w:t>
      </w:r>
    </w:p>
    <w:p w:rsidR="00253DF6" w:rsidRPr="00253DF6" w:rsidRDefault="00420A8E" w:rsidP="00AD407E">
      <w:pPr>
        <w:spacing w:after="0" w:line="360" w:lineRule="auto"/>
        <w:jc w:val="both"/>
        <w:rPr>
          <w:rFonts w:ascii="Verdana" w:hAnsi="Verdana"/>
        </w:rPr>
      </w:pPr>
      <w:r w:rsidRPr="00420A8E">
        <w:rPr>
          <w:rFonts w:ascii="Verdana" w:hAnsi="Verdana"/>
          <w:b/>
        </w:rPr>
        <w:t>По т. 7.2.</w:t>
      </w:r>
      <w:proofErr w:type="spellStart"/>
      <w:r w:rsidRPr="00420A8E">
        <w:rPr>
          <w:rFonts w:ascii="Verdana" w:hAnsi="Verdana"/>
          <w:b/>
        </w:rPr>
        <w:t>2</w:t>
      </w:r>
      <w:proofErr w:type="spellEnd"/>
      <w:r w:rsidRPr="00420A8E">
        <w:rPr>
          <w:rFonts w:ascii="Verdana" w:hAnsi="Verdana"/>
          <w:b/>
        </w:rPr>
        <w:t>.</w:t>
      </w:r>
      <w:r w:rsidRPr="00420A8E">
        <w:rPr>
          <w:rFonts w:ascii="Verdana" w:hAnsi="Verdana"/>
        </w:rPr>
        <w:t xml:space="preserve"> - </w:t>
      </w:r>
      <w:r w:rsidR="00253DF6" w:rsidRPr="00253DF6">
        <w:rPr>
          <w:rFonts w:ascii="Verdana" w:hAnsi="Verdana"/>
        </w:rPr>
        <w:t>Списък на персонала, който ще изпълнява поръчката, с посочване на  професионална компетентност на лицата. В списъка се посочват: експертите, образованието, професионалната квалификация и професионалния опит на всяко посочено лице. Списъкът се изготвя в съответствие с образеца от документацията. Списъкът трябва да е придружен от декларация за ангажираност за всеки посочен от изпълнителя експерт.</w:t>
      </w:r>
    </w:p>
    <w:p w:rsidR="00253DF6" w:rsidRPr="00253DF6" w:rsidRDefault="00253DF6" w:rsidP="00AD407E">
      <w:pPr>
        <w:spacing w:after="0" w:line="360" w:lineRule="auto"/>
        <w:jc w:val="both"/>
        <w:rPr>
          <w:rFonts w:ascii="Verdana" w:hAnsi="Verdana"/>
        </w:rPr>
      </w:pPr>
      <w:r w:rsidRPr="00253DF6">
        <w:rPr>
          <w:rFonts w:ascii="Verdana" w:hAnsi="Verdana"/>
        </w:rPr>
        <w:t>Възложителят може да не приеме представено доказателство за технически и професионални способности, когато то произтича от лице, което има интерес, който може да води до облага по смисъла на чл. 2, ал. 3 от Закона за предотвратяване и установяване на конфликт на интереси.</w:t>
      </w:r>
    </w:p>
    <w:p w:rsidR="008621D3" w:rsidRPr="00801319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01319">
        <w:rPr>
          <w:rFonts w:ascii="Verdana" w:hAnsi="Verdana"/>
        </w:rPr>
        <w:t xml:space="preserve">Подизпълнителите трябва да отговарят на съответните критерии за подбор съобразно вида и дела от поръчката, който ще изпълняват, и за тях да не са налице основания за отстраняване от </w:t>
      </w:r>
      <w:r w:rsidR="00337980">
        <w:rPr>
          <w:rFonts w:ascii="Verdana" w:hAnsi="Verdana"/>
        </w:rPr>
        <w:t>обществената поръчка</w:t>
      </w:r>
      <w:r w:rsidRPr="00801319">
        <w:rPr>
          <w:rFonts w:ascii="Verdana" w:hAnsi="Verdana"/>
        </w:rPr>
        <w:t>. Възложителят изисква замяна на подизпълнител, който не отговаря на условията по чл. 66, ал. 2 ЗОП.</w:t>
      </w:r>
    </w:p>
    <w:p w:rsidR="008621D3" w:rsidRPr="00801319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01319">
        <w:rPr>
          <w:rFonts w:ascii="Verdana" w:hAnsi="Verdana"/>
        </w:rPr>
        <w:t>При участие на обединения, които не са юридически лица, съответствието с критериите за подбор се доказва от 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 или в допълнително споразумение/анекс към него.</w:t>
      </w:r>
    </w:p>
    <w:p w:rsidR="008621D3" w:rsidRPr="00801319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01319">
        <w:rPr>
          <w:rFonts w:ascii="Verdana" w:hAnsi="Verdana"/>
        </w:rPr>
        <w:t>Когато участник в процедурата е обединение, той може да докаже изпълнението на критериите за подбор с капацитета на трети лица при спазване на условията по чл. 65, ал. 2 – 4 ЗОП.</w:t>
      </w:r>
    </w:p>
    <w:p w:rsidR="008621D3" w:rsidRPr="00801319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01319">
        <w:rPr>
          <w:rFonts w:ascii="Verdana" w:hAnsi="Verdana"/>
        </w:rPr>
        <w:t xml:space="preserve">Съгласно чл. 65 ЗОП участниците могат да се позоват на капацитета на трети лица, независимо от правната връзка между тях. В този случай трябва да се </w:t>
      </w:r>
      <w:r w:rsidRPr="00801319">
        <w:rPr>
          <w:rFonts w:ascii="Verdana" w:hAnsi="Verdana"/>
        </w:rPr>
        <w:lastRenderedPageBreak/>
        <w:t>докаже, че участниците ще разполагат с ресурсите на третите лица, като представи документи за поетите от тях задължения.</w:t>
      </w:r>
    </w:p>
    <w:p w:rsidR="009943AE" w:rsidRPr="00801319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956497">
        <w:rPr>
          <w:rFonts w:ascii="Verdana" w:hAnsi="Verdana"/>
        </w:rPr>
        <w:t xml:space="preserve">Възложителят </w:t>
      </w:r>
      <w:r w:rsidR="00973DE7">
        <w:rPr>
          <w:rFonts w:ascii="Verdana" w:hAnsi="Verdana"/>
        </w:rPr>
        <w:t>ще изиск</w:t>
      </w:r>
      <w:r w:rsidRPr="00956497">
        <w:rPr>
          <w:rFonts w:ascii="Verdana" w:hAnsi="Verdana"/>
        </w:rPr>
        <w:t>а от участника да замени посочено от него трето лице, ако то не отговаря на</w:t>
      </w:r>
      <w:r w:rsidR="00973DE7">
        <w:rPr>
          <w:rFonts w:ascii="Verdana" w:hAnsi="Verdana"/>
        </w:rPr>
        <w:t xml:space="preserve"> изискванията на</w:t>
      </w:r>
      <w:r w:rsidRPr="00956497">
        <w:rPr>
          <w:rFonts w:ascii="Verdana" w:hAnsi="Verdana"/>
        </w:rPr>
        <w:t xml:space="preserve"> </w:t>
      </w:r>
      <w:r w:rsidR="00973DE7">
        <w:rPr>
          <w:rFonts w:ascii="Verdana" w:hAnsi="Verdana"/>
        </w:rPr>
        <w:t>чл. 65, ал. 4 ЗОП, а именно т</w:t>
      </w:r>
      <w:r w:rsidR="009943AE" w:rsidRPr="00AD407E">
        <w:rPr>
          <w:rFonts w:ascii="Verdana" w:hAnsi="Verdana"/>
        </w:rPr>
        <w:t>ретите лица да отговарят на съответните критерии за подбор, за доказването на които участникът се позовава на техния капацитет и за тях да не са налице основанията за отстраняване от обществената поръчка.</w:t>
      </w:r>
    </w:p>
    <w:p w:rsidR="008621D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956497">
        <w:rPr>
          <w:rFonts w:ascii="Verdana" w:hAnsi="Verdana"/>
        </w:rPr>
        <w:t xml:space="preserve">Всеки участник по своя преценка може да предложи и други (допълнителни) експерти </w:t>
      </w:r>
      <w:r w:rsidR="00E9642B">
        <w:rPr>
          <w:rFonts w:ascii="Verdana" w:hAnsi="Verdana"/>
        </w:rPr>
        <w:t>с оглед срочното и качествено</w:t>
      </w:r>
      <w:r w:rsidRPr="00956497">
        <w:rPr>
          <w:rFonts w:ascii="Verdana" w:hAnsi="Verdana"/>
        </w:rPr>
        <w:t xml:space="preserve"> изпълнение на поръчката. Лицата се описват в отделен списък</w:t>
      </w:r>
      <w:r w:rsidR="0086783C">
        <w:rPr>
          <w:rFonts w:ascii="Verdana" w:hAnsi="Verdana"/>
        </w:rPr>
        <w:t xml:space="preserve"> и следва да отговарят </w:t>
      </w:r>
      <w:r w:rsidR="0086783C" w:rsidRPr="00956497">
        <w:rPr>
          <w:rFonts w:ascii="Verdana" w:hAnsi="Verdana"/>
        </w:rPr>
        <w:t xml:space="preserve">на изискванията </w:t>
      </w:r>
      <w:r w:rsidR="0086783C">
        <w:rPr>
          <w:rFonts w:ascii="Verdana" w:hAnsi="Verdana"/>
        </w:rPr>
        <w:t>на възложителя посочени в т. 7.2.</w:t>
      </w:r>
      <w:proofErr w:type="spellStart"/>
      <w:r w:rsidR="0086783C">
        <w:rPr>
          <w:rFonts w:ascii="Verdana" w:hAnsi="Verdana"/>
        </w:rPr>
        <w:t>2</w:t>
      </w:r>
      <w:proofErr w:type="spellEnd"/>
      <w:r w:rsidR="0086783C">
        <w:rPr>
          <w:rFonts w:ascii="Verdana" w:hAnsi="Verdana"/>
        </w:rPr>
        <w:t>. от документацията за участие.</w:t>
      </w:r>
    </w:p>
    <w:p w:rsidR="00F22849" w:rsidRDefault="00F22849" w:rsidP="00AD407E">
      <w:pPr>
        <w:spacing w:after="0" w:line="360" w:lineRule="auto"/>
        <w:jc w:val="both"/>
        <w:rPr>
          <w:rFonts w:ascii="Verdana" w:hAnsi="Verdana"/>
        </w:rPr>
      </w:pPr>
      <w:r w:rsidRPr="00F22849">
        <w:rPr>
          <w:rFonts w:ascii="Verdana" w:hAnsi="Verdana"/>
        </w:rPr>
        <w:t xml:space="preserve">Смяната на член на екип/добавяне на нов член става след предварително съгласуване с Възложителя, като всеки от </w:t>
      </w:r>
      <w:proofErr w:type="spellStart"/>
      <w:r w:rsidRPr="00F22849">
        <w:rPr>
          <w:rFonts w:ascii="Verdana" w:hAnsi="Verdana"/>
        </w:rPr>
        <w:t>новопредложените</w:t>
      </w:r>
      <w:proofErr w:type="spellEnd"/>
      <w:r w:rsidRPr="00F22849">
        <w:rPr>
          <w:rFonts w:ascii="Verdana" w:hAnsi="Verdana"/>
        </w:rPr>
        <w:t xml:space="preserve"> членове трябва да отговаря на изискванията на възложителя посочени в т. 7.2.</w:t>
      </w:r>
      <w:proofErr w:type="spellStart"/>
      <w:r w:rsidRPr="00F22849">
        <w:rPr>
          <w:rFonts w:ascii="Verdana" w:hAnsi="Verdana"/>
        </w:rPr>
        <w:t>2</w:t>
      </w:r>
      <w:proofErr w:type="spellEnd"/>
      <w:r w:rsidRPr="00F22849">
        <w:rPr>
          <w:rFonts w:ascii="Verdana" w:hAnsi="Verdana"/>
        </w:rPr>
        <w:t>. от документацията за участие.</w:t>
      </w:r>
    </w:p>
    <w:p w:rsidR="00F22849" w:rsidRPr="00C93F3A" w:rsidRDefault="00F22849" w:rsidP="00AD407E">
      <w:pPr>
        <w:spacing w:after="0" w:line="360" w:lineRule="auto"/>
        <w:jc w:val="both"/>
        <w:rPr>
          <w:rFonts w:ascii="Verdana" w:hAnsi="Verdana"/>
        </w:rPr>
      </w:pPr>
      <w:r w:rsidRPr="00F22849">
        <w:rPr>
          <w:rFonts w:ascii="Verdana" w:hAnsi="Verdana"/>
        </w:rPr>
        <w:t>Изпълнителят и експертите са длъжни да спазват правилата за избягване конфликт на интереси, опазване на поверителност на информацията, етични правила и други, които са приложими при изпълнението на обществената поръчка.</w:t>
      </w:r>
    </w:p>
    <w:p w:rsidR="006B0856" w:rsidRDefault="006B0856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F66F67">
        <w:rPr>
          <w:rFonts w:ascii="Verdana" w:hAnsi="Verdana"/>
          <w:b/>
        </w:rPr>
        <w:t>VІІІ. УКАЗАНИЯ ЗА ПОДГОТОВКА И ПРЕДСТАВЯНЕ НА ОФЕРТАТА.</w:t>
      </w:r>
    </w:p>
    <w:p w:rsidR="00283F48" w:rsidRPr="00F66F67" w:rsidRDefault="00283F48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Pr="00F66F67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F66F67">
        <w:rPr>
          <w:rFonts w:ascii="Verdana" w:hAnsi="Verdana"/>
        </w:rPr>
        <w:t xml:space="preserve">При подаване на оферта участникът декларира липсата на основанията за отстраняване по чл. 54, ал. 1, т. 1 - 5 и </w:t>
      </w:r>
      <w:r w:rsidR="00F66F67">
        <w:rPr>
          <w:rFonts w:ascii="Verdana" w:hAnsi="Verdana"/>
        </w:rPr>
        <w:t xml:space="preserve">т. </w:t>
      </w:r>
      <w:r w:rsidRPr="00F66F67">
        <w:rPr>
          <w:rFonts w:ascii="Verdana" w:hAnsi="Verdana"/>
        </w:rPr>
        <w:t xml:space="preserve">7 </w:t>
      </w:r>
      <w:r w:rsidR="00F66F67">
        <w:rPr>
          <w:rFonts w:ascii="Verdana" w:hAnsi="Verdana"/>
        </w:rPr>
        <w:t xml:space="preserve">от </w:t>
      </w:r>
      <w:r w:rsidRPr="00F66F67">
        <w:rPr>
          <w:rFonts w:ascii="Verdana" w:hAnsi="Verdana"/>
        </w:rPr>
        <w:t>ЗОП и съответствие с критериите за подбор чрез представяне на съответните декларации (№№ 5, 6, 7 и 8) и изискуемите към тях документи.</w:t>
      </w:r>
      <w:r w:rsidR="003F1548">
        <w:rPr>
          <w:rFonts w:ascii="Verdana" w:hAnsi="Verdana"/>
        </w:rPr>
        <w:t xml:space="preserve"> В случай, че участникът ще използва подизпълнители, същите следва да предоставят декларации</w:t>
      </w:r>
      <w:r w:rsidR="003F1548" w:rsidRPr="003F1548">
        <w:t xml:space="preserve"> </w:t>
      </w:r>
      <w:r w:rsidR="003F1548" w:rsidRPr="003F1548">
        <w:rPr>
          <w:rFonts w:ascii="Verdana" w:hAnsi="Verdana"/>
        </w:rPr>
        <w:t>по чл. 54, ал. 1, т. 1 - 5 и т. 7 от ЗОП и съответствие с критериите за подбор чрез представяне на съответните декларации (№№ 5, 6, 7 и 8) и изискуемите към тях документи</w:t>
      </w:r>
      <w:r w:rsidR="003F1548">
        <w:rPr>
          <w:rFonts w:ascii="Verdana" w:hAnsi="Verdana"/>
        </w:rPr>
        <w:t>, в зависимост от вида и дела</w:t>
      </w:r>
      <w:r w:rsidR="004D6CB7">
        <w:rPr>
          <w:rFonts w:ascii="Verdana" w:hAnsi="Verdana"/>
        </w:rPr>
        <w:t>, който ще изпълняват.</w:t>
      </w:r>
    </w:p>
    <w:p w:rsidR="008621D3" w:rsidRPr="003D7B42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F66F67">
        <w:rPr>
          <w:rFonts w:ascii="Verdana" w:hAnsi="Verdana"/>
        </w:rPr>
        <w:t>Когато участниците предвиждат участие на подизпълнител/и при изпълнение на поръчката, посочват в офертата си всеки подизпълнител (Декларация по Приложение № 2.1) и дела от поръчката, който</w:t>
      </w:r>
      <w:r w:rsidRPr="003D7B42">
        <w:rPr>
          <w:rFonts w:ascii="Verdana" w:hAnsi="Verdana"/>
        </w:rPr>
        <w:t xml:space="preserve"> ще му възложат. В този случай участниците трябва да представят доказателство за поетите от подизпълнителя/</w:t>
      </w:r>
      <w:proofErr w:type="spellStart"/>
      <w:r w:rsidRPr="003D7B42">
        <w:rPr>
          <w:rFonts w:ascii="Verdana" w:hAnsi="Verdana"/>
        </w:rPr>
        <w:t>ите</w:t>
      </w:r>
      <w:proofErr w:type="spellEnd"/>
      <w:r w:rsidRPr="003D7B42">
        <w:rPr>
          <w:rFonts w:ascii="Verdana" w:hAnsi="Verdana"/>
        </w:rPr>
        <w:t xml:space="preserve"> задължения – декларация по Приложение № 2.</w:t>
      </w:r>
      <w:proofErr w:type="spellStart"/>
      <w:r w:rsidRPr="003D7B42">
        <w:rPr>
          <w:rFonts w:ascii="Verdana" w:hAnsi="Verdana"/>
        </w:rPr>
        <w:t>2</w:t>
      </w:r>
      <w:proofErr w:type="spellEnd"/>
      <w:r w:rsidRPr="003D7B42">
        <w:rPr>
          <w:rFonts w:ascii="Verdana" w:hAnsi="Verdana"/>
        </w:rPr>
        <w:t>.</w:t>
      </w:r>
      <w:r w:rsidR="003D19AE" w:rsidRPr="003D19AE">
        <w:t xml:space="preserve"> </w:t>
      </w:r>
      <w:r w:rsidR="003D19AE" w:rsidRPr="003D19AE">
        <w:rPr>
          <w:rFonts w:ascii="Verdana" w:hAnsi="Verdana"/>
        </w:rPr>
        <w:t xml:space="preserve">Независимо </w:t>
      </w:r>
      <w:r w:rsidR="003D19AE" w:rsidRPr="003D19AE">
        <w:rPr>
          <w:rFonts w:ascii="Verdana" w:hAnsi="Verdana"/>
        </w:rPr>
        <w:lastRenderedPageBreak/>
        <w:t>от възможността за използване на подизпълнители, отговорността за изпълнение на договора за обществена поръчка е на изпълнителя.</w:t>
      </w:r>
    </w:p>
    <w:p w:rsidR="008621D3" w:rsidRPr="008D4B4D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D4B4D">
        <w:rPr>
          <w:rFonts w:ascii="Verdana" w:hAnsi="Verdana"/>
        </w:rPr>
        <w:t>Всички документи трябва да бъдат попълнени на български език, без поправки и/или изтривания, и представени в съответствие с предоставените от възложителя образци, чиито условия са задължителни за участниците и не могат да бъдат променяни. Неспазването на изискването е основание за отстраняване от участие в поръчката.</w:t>
      </w:r>
    </w:p>
    <w:p w:rsidR="008621D3" w:rsidRPr="008D4B4D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D4B4D">
        <w:rPr>
          <w:rFonts w:ascii="Verdana" w:hAnsi="Verdana"/>
        </w:rPr>
        <w:t xml:space="preserve">Участниците могат да посочат в офертите си информация, която смятат за конфиденциална във връзка с наличието на търговска тайна. Участниците не могат да се позовават на </w:t>
      </w:r>
      <w:proofErr w:type="spellStart"/>
      <w:r w:rsidRPr="008D4B4D">
        <w:rPr>
          <w:rFonts w:ascii="Verdana" w:hAnsi="Verdana"/>
        </w:rPr>
        <w:t>конфиденциалност</w:t>
      </w:r>
      <w:proofErr w:type="spellEnd"/>
      <w:r w:rsidRPr="008D4B4D">
        <w:rPr>
          <w:rFonts w:ascii="Verdana" w:hAnsi="Verdana"/>
        </w:rPr>
        <w:t xml:space="preserve"> по отношение на предложенията от офертите им, които подлежат на оценка.</w:t>
      </w:r>
    </w:p>
    <w:p w:rsidR="008621D3" w:rsidRPr="008D4B4D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D4B4D">
        <w:rPr>
          <w:rFonts w:ascii="Verdana" w:hAnsi="Verdana"/>
        </w:rPr>
        <w:t xml:space="preserve">Документите в офертата трябва да са подписани само от лица с представителни функции, назовани в документа за регистрация в Агенцията по вписванията – Търговски регистър или в удостоверението за актуално състояние, или от изрично упълномощени за това лица (с изключение на изискуемите документи, които </w:t>
      </w:r>
      <w:proofErr w:type="spellStart"/>
      <w:r w:rsidRPr="008D4B4D">
        <w:rPr>
          <w:rFonts w:ascii="Verdana" w:hAnsi="Verdana"/>
        </w:rPr>
        <w:t>обективират</w:t>
      </w:r>
      <w:proofErr w:type="spellEnd"/>
      <w:r w:rsidRPr="008D4B4D">
        <w:rPr>
          <w:rFonts w:ascii="Verdana" w:hAnsi="Verdana"/>
        </w:rPr>
        <w:t xml:space="preserve"> лично изявление на конкретно лице и не могат да се подпишат и представят от пълномощник). Във втория случай в офертата трябва да се представи документ за упълномощаване за изпълнението на такива функции.</w:t>
      </w:r>
    </w:p>
    <w:p w:rsidR="008621D3" w:rsidRPr="008D4B4D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D4B4D">
        <w:rPr>
          <w:rFonts w:ascii="Verdana" w:hAnsi="Verdana"/>
        </w:rPr>
        <w:t>Когато за някои от документите е посочено, че може да се представи чрез “заверено копие”, за такъв документ се счита този, при който върху копието на документа представляващият участника е записал “Вярно с оригинала”, поставил е собственоръчен подпис със син цвят под заверката, както и свеж печат.</w:t>
      </w:r>
    </w:p>
    <w:p w:rsidR="008621D3" w:rsidRPr="008D4B4D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D4B4D">
        <w:rPr>
          <w:rFonts w:ascii="Verdana" w:hAnsi="Verdana"/>
        </w:rPr>
        <w:t xml:space="preserve">Документите (офертата), свързани с участието в обществената поръчка, се представят от участника, или от упълномощен от него представител - лично или чрез пощенска или друга куриерска услуга с препоръчана пратка с обратна разписка, на следния адрес: гр. </w:t>
      </w:r>
      <w:r w:rsidR="008D4B4D">
        <w:rPr>
          <w:rFonts w:ascii="Verdana" w:hAnsi="Verdana"/>
        </w:rPr>
        <w:t>София</w:t>
      </w:r>
      <w:r w:rsidRPr="008D4B4D">
        <w:rPr>
          <w:rFonts w:ascii="Verdana" w:hAnsi="Verdana"/>
        </w:rPr>
        <w:t xml:space="preserve">, </w:t>
      </w:r>
      <w:r w:rsidR="008D4B4D">
        <w:rPr>
          <w:rFonts w:ascii="Verdana" w:hAnsi="Verdana"/>
        </w:rPr>
        <w:t>ул.</w:t>
      </w:r>
      <w:r w:rsidRPr="008D4B4D">
        <w:rPr>
          <w:rFonts w:ascii="Verdana" w:hAnsi="Verdana"/>
        </w:rPr>
        <w:t xml:space="preserve"> „</w:t>
      </w:r>
      <w:r w:rsidR="008D4B4D">
        <w:rPr>
          <w:rFonts w:ascii="Verdana" w:hAnsi="Verdana"/>
        </w:rPr>
        <w:t>Триадица</w:t>
      </w:r>
      <w:r w:rsidRPr="008D4B4D">
        <w:rPr>
          <w:rFonts w:ascii="Verdana" w:hAnsi="Verdana"/>
        </w:rPr>
        <w:t xml:space="preserve">” № </w:t>
      </w:r>
      <w:r w:rsidR="008D4B4D">
        <w:rPr>
          <w:rFonts w:ascii="Verdana" w:hAnsi="Verdana"/>
        </w:rPr>
        <w:t>8</w:t>
      </w:r>
      <w:r w:rsidRPr="008D4B4D">
        <w:rPr>
          <w:rFonts w:ascii="Verdana" w:hAnsi="Verdana"/>
        </w:rPr>
        <w:t>,</w:t>
      </w:r>
      <w:r w:rsidR="008D4B4D">
        <w:rPr>
          <w:rFonts w:ascii="Verdana" w:hAnsi="Verdana"/>
        </w:rPr>
        <w:t xml:space="preserve"> деловодство на Министерство на енергетиката.</w:t>
      </w:r>
    </w:p>
    <w:p w:rsidR="008621D3" w:rsidRPr="008D4B4D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8D4B4D">
        <w:rPr>
          <w:rFonts w:ascii="Verdana" w:hAnsi="Verdana"/>
        </w:rPr>
        <w:t>Документите се представят в запечатана непрозрачна опаковка, върху която се посочват:</w:t>
      </w:r>
    </w:p>
    <w:p w:rsidR="008621D3" w:rsidRPr="005E659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E6593">
        <w:rPr>
          <w:rFonts w:ascii="Verdana" w:hAnsi="Verdana"/>
        </w:rPr>
        <w:t>1. наименованието на участника, включително участниците в обединението, когато е приложимо;</w:t>
      </w:r>
    </w:p>
    <w:p w:rsidR="008621D3" w:rsidRPr="005E659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E6593">
        <w:rPr>
          <w:rFonts w:ascii="Verdana" w:hAnsi="Verdana"/>
        </w:rPr>
        <w:t>2. адрес за кореспонденция, телефон и по възможност - факс и електронен адрес;</w:t>
      </w:r>
    </w:p>
    <w:p w:rsidR="008621D3" w:rsidRPr="005E659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E6593">
        <w:rPr>
          <w:rFonts w:ascii="Verdana" w:hAnsi="Verdana"/>
        </w:rPr>
        <w:t>3. наименованието на поръчката.</w:t>
      </w:r>
    </w:p>
    <w:p w:rsidR="008621D3" w:rsidRPr="005E659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E6593">
        <w:rPr>
          <w:rFonts w:ascii="Verdana" w:hAnsi="Verdana"/>
        </w:rPr>
        <w:lastRenderedPageBreak/>
        <w:t xml:space="preserve">Когато документите, свързани с участието в </w:t>
      </w:r>
      <w:r w:rsidR="005E6593" w:rsidRPr="005E6593">
        <w:rPr>
          <w:rFonts w:ascii="Verdana" w:hAnsi="Verdana"/>
        </w:rPr>
        <w:t>обществената поръчка</w:t>
      </w:r>
      <w:r w:rsidRPr="005E6593">
        <w:rPr>
          <w:rFonts w:ascii="Verdana" w:hAnsi="Verdana"/>
        </w:rPr>
        <w:t>, се представят чрез пощенска или друга куриерска услуга, разходите са за сметка на участника, както и рискът от забава или загубване на офертата.</w:t>
      </w:r>
    </w:p>
    <w:p w:rsidR="008621D3" w:rsidRPr="005E659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E6593">
        <w:rPr>
          <w:rFonts w:ascii="Verdana" w:hAnsi="Verdana"/>
        </w:rPr>
        <w:t xml:space="preserve">Подаването на оферта се извършва от </w:t>
      </w:r>
      <w:r w:rsidR="005E6593" w:rsidRPr="005E6593">
        <w:rPr>
          <w:rFonts w:ascii="Verdana" w:hAnsi="Verdana"/>
        </w:rPr>
        <w:t>09</w:t>
      </w:r>
      <w:r w:rsidRPr="005E6593">
        <w:rPr>
          <w:rFonts w:ascii="Verdana" w:hAnsi="Verdana"/>
        </w:rPr>
        <w:t>:30 ч. до 17:</w:t>
      </w:r>
      <w:r w:rsidR="000E052D">
        <w:rPr>
          <w:rFonts w:ascii="Verdana" w:hAnsi="Verdana"/>
        </w:rPr>
        <w:t>3</w:t>
      </w:r>
      <w:r w:rsidR="00A0159F">
        <w:rPr>
          <w:rFonts w:ascii="Verdana" w:hAnsi="Verdana"/>
        </w:rPr>
        <w:t>0</w:t>
      </w:r>
      <w:r w:rsidRPr="005E6593">
        <w:rPr>
          <w:rFonts w:ascii="Verdana" w:hAnsi="Verdana"/>
        </w:rPr>
        <w:t xml:space="preserve"> ч. всеки работен ден до изтичане на срока, посочен в обявата за </w:t>
      </w:r>
      <w:r w:rsidR="005E6593" w:rsidRPr="005E6593">
        <w:rPr>
          <w:rFonts w:ascii="Verdana" w:hAnsi="Verdana"/>
        </w:rPr>
        <w:t>обществена</w:t>
      </w:r>
      <w:r w:rsidRPr="005E6593">
        <w:rPr>
          <w:rFonts w:ascii="Verdana" w:hAnsi="Verdana"/>
        </w:rPr>
        <w:t xml:space="preserve"> поръчка.</w:t>
      </w:r>
    </w:p>
    <w:p w:rsidR="008621D3" w:rsidRPr="0076090F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76090F">
        <w:rPr>
          <w:rFonts w:ascii="Verdana" w:hAnsi="Verdana"/>
        </w:rPr>
        <w:t>Не се приемат за участие оферти, които са представени след изтичане на крайния срок за получаване или са в незапечатана опаковка или в опаковка с нарушена цялост.</w:t>
      </w:r>
    </w:p>
    <w:p w:rsidR="008621D3" w:rsidRPr="0076090F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76090F">
        <w:rPr>
          <w:rFonts w:ascii="Verdana" w:hAnsi="Verdana"/>
        </w:rPr>
        <w:t>До изтичането на срока за подаване на оферти всеки участник може да промени, да допълни или да оттегли офертата си.</w:t>
      </w:r>
    </w:p>
    <w:p w:rsidR="00967A65" w:rsidRDefault="00967A65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1D183C">
        <w:rPr>
          <w:rFonts w:ascii="Verdana" w:hAnsi="Verdana"/>
          <w:b/>
        </w:rPr>
        <w:t xml:space="preserve">ІХ. ПОЛУЧАВАНЕ НА ДОКУМЕНТАЦИЯ ЗА УЧАСТИЕ В </w:t>
      </w:r>
      <w:r w:rsidR="001851FB" w:rsidRPr="001D183C">
        <w:rPr>
          <w:rFonts w:ascii="Verdana" w:hAnsi="Verdana"/>
          <w:b/>
        </w:rPr>
        <w:t>ОБЩЕСТВЕНАТА ПОРЪЧКА</w:t>
      </w:r>
      <w:r w:rsidRPr="001D183C">
        <w:rPr>
          <w:rFonts w:ascii="Verdana" w:hAnsi="Verdana"/>
          <w:b/>
        </w:rPr>
        <w:t>. ОБМЕН НА ИНФОРМАЦИЯ.</w:t>
      </w:r>
    </w:p>
    <w:p w:rsidR="00283F48" w:rsidRPr="001D183C" w:rsidRDefault="00283F48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Pr="001851FB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1851FB">
        <w:rPr>
          <w:rFonts w:ascii="Verdana" w:hAnsi="Verdana"/>
        </w:rPr>
        <w:t>Документацията за обществената поръчка е публикувана в Профила на купувача на възложителя, като е предоставен неограничен, пълен, безплатен и пряк достъп до</w:t>
      </w:r>
      <w:r w:rsidR="001851FB">
        <w:rPr>
          <w:rFonts w:ascii="Verdana" w:hAnsi="Verdana"/>
        </w:rPr>
        <w:t xml:space="preserve"> </w:t>
      </w:r>
      <w:r w:rsidRPr="001851FB">
        <w:rPr>
          <w:rFonts w:ascii="Verdana" w:hAnsi="Verdana"/>
        </w:rPr>
        <w:t>нея</w:t>
      </w:r>
      <w:r w:rsidR="001851FB">
        <w:rPr>
          <w:rFonts w:ascii="Verdana" w:hAnsi="Verdana"/>
        </w:rPr>
        <w:t>.</w:t>
      </w:r>
      <w:r w:rsidRPr="001851FB">
        <w:rPr>
          <w:rFonts w:ascii="Verdana" w:hAnsi="Verdana"/>
        </w:rPr>
        <w:t xml:space="preserve"> </w:t>
      </w:r>
    </w:p>
    <w:p w:rsidR="008621D3" w:rsidRPr="001851FB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1851FB">
        <w:rPr>
          <w:rFonts w:ascii="Verdana" w:hAnsi="Verdana"/>
        </w:rPr>
        <w:t>В електронната преписка на поръчката в Профила на купувача възложителят ще публикува всички съобщения до участниците, разяснения по документацията за участие и други документи в съответствие с чл. 42 ЗОП. С публикуването на документите на Профил на купувача се приема, че заинтересованите лица и/или участниците са уведомени относно отразените в тях обстоятелства, освен ако друго не е предвидено в ЗОП.</w:t>
      </w:r>
    </w:p>
    <w:p w:rsidR="008621D3" w:rsidRPr="001851FB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1851FB">
        <w:rPr>
          <w:rFonts w:ascii="Verdana" w:hAnsi="Verdana"/>
        </w:rPr>
        <w:t>Обменът на информация по повод и във връзка с настоящата обществена поръчка е в писмен вид, като се използват електронни средства за комуникация, пощенска или друга подходяща куриерска услуга или комбинация от тях и електронни средства.</w:t>
      </w:r>
    </w:p>
    <w:p w:rsidR="00967A65" w:rsidRDefault="00967A65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DD47EB">
        <w:rPr>
          <w:rFonts w:ascii="Verdana" w:hAnsi="Verdana"/>
          <w:b/>
        </w:rPr>
        <w:t>Х. РАЗГЛЕЖДАНЕ, ОЦЕНКА И КЛАСИРАНЕ НА ОФЕРТИТЕ. КРИТЕРИЙ ЗА ОЦЕНКА НА ОФЕРТИТЕ. МЕТОДИКА ЗА ОЦЕНКА НА ОФЕРТИТЕ.</w:t>
      </w:r>
    </w:p>
    <w:p w:rsidR="00283F48" w:rsidRPr="00DD47EB" w:rsidRDefault="00283F48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Pr="00DD47EB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DD47EB">
        <w:rPr>
          <w:rFonts w:ascii="Verdana" w:hAnsi="Verdana"/>
        </w:rPr>
        <w:t xml:space="preserve">Възложителят със заповед определя нечетен брой лица, които да разгледат и оценят получените оферти. </w:t>
      </w:r>
      <w:r w:rsidR="00C7087F">
        <w:rPr>
          <w:rFonts w:ascii="Verdana" w:hAnsi="Verdana"/>
        </w:rPr>
        <w:t>По отношение</w:t>
      </w:r>
      <w:r w:rsidRPr="00DD47EB">
        <w:rPr>
          <w:rFonts w:ascii="Verdana" w:hAnsi="Verdana"/>
        </w:rPr>
        <w:t xml:space="preserve"> на комисията </w:t>
      </w:r>
      <w:r w:rsidR="00C7087F">
        <w:rPr>
          <w:rFonts w:ascii="Verdana" w:hAnsi="Verdana"/>
        </w:rPr>
        <w:t>не трябва да е налице конфликт на интереси</w:t>
      </w:r>
      <w:r w:rsidR="00561784">
        <w:rPr>
          <w:rFonts w:ascii="Verdana" w:hAnsi="Verdana"/>
        </w:rPr>
        <w:t xml:space="preserve"> с участниците, за което </w:t>
      </w:r>
      <w:r w:rsidRPr="00DD47EB">
        <w:rPr>
          <w:rFonts w:ascii="Verdana" w:hAnsi="Verdana"/>
        </w:rPr>
        <w:t xml:space="preserve">представят на възложителя </w:t>
      </w:r>
      <w:r w:rsidRPr="00DD47EB">
        <w:rPr>
          <w:rFonts w:ascii="Verdana" w:hAnsi="Verdana"/>
        </w:rPr>
        <w:lastRenderedPageBreak/>
        <w:t>декларация след получаване на списъка с участниците и на всеки етап от поръчката, когато настъпи промяна в декларираните данни.</w:t>
      </w:r>
    </w:p>
    <w:p w:rsidR="008621D3" w:rsidRPr="00DD47EB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DD47EB">
        <w:rPr>
          <w:rFonts w:ascii="Verdana" w:hAnsi="Verdana"/>
        </w:rPr>
        <w:t>Отварянето на офертите ще се извърши на датата, часа и мястото съгласно обявата.</w:t>
      </w:r>
    </w:p>
    <w:p w:rsidR="008621D3" w:rsidRPr="00DD47EB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DD47EB">
        <w:rPr>
          <w:rFonts w:ascii="Verdana" w:hAnsi="Verdana"/>
        </w:rPr>
        <w:t>Комисията отваря офертите по реда на тяхното постъпване и обявява ценовите предложения. При извършване на тези действия могат да присъстват представители на участниците.</w:t>
      </w:r>
    </w:p>
    <w:p w:rsidR="008621D3" w:rsidRPr="00DD47EB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DD47EB">
        <w:rPr>
          <w:rFonts w:ascii="Verdana" w:hAnsi="Verdana"/>
        </w:rPr>
        <w:t>Съгласно чл. 70, ал. 1 от ЗОП, обществените поръчки се възлагат въз основа на икономически най-изгодната оферта.</w:t>
      </w:r>
    </w:p>
    <w:p w:rsidR="008621D3" w:rsidRPr="00DD47EB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DD47EB">
        <w:rPr>
          <w:rFonts w:ascii="Verdana" w:hAnsi="Verdana"/>
        </w:rPr>
        <w:t>Икономически най-изгодната оферта за участие в настоящата обществена поръчка ще бъде определена въз основа на критери</w:t>
      </w:r>
      <w:r w:rsidR="009444C8">
        <w:rPr>
          <w:rFonts w:ascii="Verdana" w:hAnsi="Verdana"/>
        </w:rPr>
        <w:t>я за възлагане „най-ниска цена“, съгласно чл. 70, ал. 2, т. 1 от ЗОП.</w:t>
      </w:r>
    </w:p>
    <w:p w:rsidR="008621D3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DD47EB">
        <w:rPr>
          <w:rFonts w:ascii="Verdana" w:hAnsi="Verdana"/>
        </w:rPr>
        <w:t xml:space="preserve">За оферта с най-ниска цена ще се счита тази, в която е предложена най-ниска обща цена </w:t>
      </w:r>
      <w:r w:rsidR="009444C8">
        <w:rPr>
          <w:rFonts w:ascii="Verdana" w:hAnsi="Verdana"/>
        </w:rPr>
        <w:t>за изпълнението на обществената поръчка.</w:t>
      </w:r>
    </w:p>
    <w:p w:rsidR="00967A65" w:rsidRDefault="00967A65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5409A1">
        <w:rPr>
          <w:rFonts w:ascii="Verdana" w:hAnsi="Verdana"/>
          <w:b/>
        </w:rPr>
        <w:t>ХІ. СКЛЮЧВАНЕ НА ДОГОВОР ЗА ОБЩЕСТВЕНА ПОРЪЧКА.</w:t>
      </w:r>
    </w:p>
    <w:p w:rsidR="00283F48" w:rsidRPr="005409A1" w:rsidRDefault="00283F48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Pr="005409A1" w:rsidRDefault="00F71821" w:rsidP="00AD407E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К</w:t>
      </w:r>
      <w:r w:rsidR="008621D3" w:rsidRPr="005409A1">
        <w:rPr>
          <w:rFonts w:ascii="Verdana" w:hAnsi="Verdana"/>
        </w:rPr>
        <w:t>омисията съставя протокол за разглеждането и оценката на офертите и за класирането на участниците. Протоколът се представя на възложителя за утвърждаване, след което в един и същ ден се изпраща на участниците и се публикува в профила на купувача.</w:t>
      </w:r>
    </w:p>
    <w:p w:rsidR="008621D3" w:rsidRPr="00540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409A1">
        <w:rPr>
          <w:rFonts w:ascii="Verdana" w:hAnsi="Verdana"/>
        </w:rPr>
        <w:t xml:space="preserve">Възложителят </w:t>
      </w:r>
      <w:r w:rsidR="00F71821">
        <w:rPr>
          <w:rFonts w:ascii="Verdana" w:hAnsi="Verdana"/>
        </w:rPr>
        <w:t>ще сключи</w:t>
      </w:r>
      <w:r w:rsidRPr="005409A1">
        <w:rPr>
          <w:rFonts w:ascii="Verdana" w:hAnsi="Verdana"/>
        </w:rPr>
        <w:t xml:space="preserve"> писмен договор за обществена поръчка с определения изпълнител в 30-дневен срок от датата на определяне на изпълнителя, при условие че при подписване на договора определеният изпълнител изпълни задължението по чл. 67, ал. 6 ЗОП. Документите се представят и за подизпълнителите и третите лица, ако има такива. За доказване на липсата на основания за отстраняване участникът, избран за изпълнител, представя документите по чл. 58, ал. 1, т. 1 и 2 ЗОП. Възложителят няма да изисква документи, които вече са му били предоставени или са му служебно известни, както и представянето на документите по чл. 58, ал. 1, т. 1 и 2 ЗОП, когато обстоятелствата в тях са достъпни чрез публичен безплатен регистър или информацията или достъпът до нея се предоставя от компетентния орган на възложителя по служебен път.</w:t>
      </w:r>
    </w:p>
    <w:p w:rsidR="008621D3" w:rsidRPr="00540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409A1">
        <w:rPr>
          <w:rFonts w:ascii="Verdana" w:hAnsi="Verdana"/>
        </w:rPr>
        <w:t xml:space="preserve">Възложителят може да сключи договор със следващия класиран участник, когато избраният за изпълнител участник откаже да сключи договор или не се яви за </w:t>
      </w:r>
      <w:r w:rsidRPr="005409A1">
        <w:rPr>
          <w:rFonts w:ascii="Verdana" w:hAnsi="Verdana"/>
        </w:rPr>
        <w:lastRenderedPageBreak/>
        <w:t>сключването му в определения от възложителя срок, без да посочи обективни причини.</w:t>
      </w:r>
    </w:p>
    <w:p w:rsidR="008621D3" w:rsidRPr="00540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409A1">
        <w:rPr>
          <w:rFonts w:ascii="Verdana" w:hAnsi="Verdana"/>
        </w:rPr>
        <w:t>Когато определеният изпълнител е неперсонифицирано обединение на физически и/или юридически лица договорът за обществена поръчка се сключва,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държавата, в която обединението е установено.</w:t>
      </w:r>
    </w:p>
    <w:p w:rsidR="008621D3" w:rsidRPr="00540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409A1">
        <w:rPr>
          <w:rFonts w:ascii="Verdana" w:hAnsi="Verdana"/>
        </w:rPr>
        <w:t>Срокът на договора, който ще бъде сключен с определения за изпълнител участник, е съгласно проекта на договор – Приложение № 4.</w:t>
      </w:r>
    </w:p>
    <w:p w:rsidR="008621D3" w:rsidRPr="00540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409A1">
        <w:rPr>
          <w:rFonts w:ascii="Verdana" w:hAnsi="Verdana"/>
        </w:rPr>
        <w:t xml:space="preserve">Когато определеният за изпълнител участник е посочил в офертата си, че при изпълнението на обществената поръчка ще използва подизпълнител/и, той сключва договор </w:t>
      </w:r>
      <w:proofErr w:type="spellStart"/>
      <w:r w:rsidRPr="005409A1">
        <w:rPr>
          <w:rFonts w:ascii="Verdana" w:hAnsi="Verdana"/>
        </w:rPr>
        <w:t>договор</w:t>
      </w:r>
      <w:proofErr w:type="spellEnd"/>
      <w:r w:rsidRPr="005409A1">
        <w:rPr>
          <w:rFonts w:ascii="Verdana" w:hAnsi="Verdana"/>
        </w:rPr>
        <w:t xml:space="preserve">/и за </w:t>
      </w:r>
      <w:proofErr w:type="spellStart"/>
      <w:r w:rsidRPr="005409A1">
        <w:rPr>
          <w:rFonts w:ascii="Verdana" w:hAnsi="Verdana"/>
        </w:rPr>
        <w:t>подизпълнение</w:t>
      </w:r>
      <w:proofErr w:type="spellEnd"/>
      <w:r w:rsidRPr="005409A1">
        <w:rPr>
          <w:rFonts w:ascii="Verdana" w:hAnsi="Verdana"/>
        </w:rPr>
        <w:t xml:space="preserve"> с посоченият/</w:t>
      </w:r>
      <w:proofErr w:type="spellStart"/>
      <w:r w:rsidRPr="005409A1">
        <w:rPr>
          <w:rFonts w:ascii="Verdana" w:hAnsi="Verdana"/>
        </w:rPr>
        <w:t>ите</w:t>
      </w:r>
      <w:proofErr w:type="spellEnd"/>
      <w:r w:rsidRPr="005409A1">
        <w:rPr>
          <w:rFonts w:ascii="Verdana" w:hAnsi="Verdana"/>
        </w:rPr>
        <w:t xml:space="preserve"> в офертата му подизпълнител/и в 3-дневен срок от сключване на</w:t>
      </w:r>
      <w:r w:rsidR="00EB5054">
        <w:rPr>
          <w:rFonts w:ascii="Verdana" w:hAnsi="Verdana"/>
        </w:rPr>
        <w:t xml:space="preserve"> </w:t>
      </w:r>
      <w:r w:rsidRPr="005409A1">
        <w:rPr>
          <w:rFonts w:ascii="Verdana" w:hAnsi="Verdana"/>
        </w:rPr>
        <w:t xml:space="preserve">договор за обществената поръчка. В срок до 3 дни от сключването на договор за </w:t>
      </w:r>
      <w:proofErr w:type="spellStart"/>
      <w:r w:rsidRPr="005409A1">
        <w:rPr>
          <w:rFonts w:ascii="Verdana" w:hAnsi="Verdana"/>
        </w:rPr>
        <w:t>подизпълнение</w:t>
      </w:r>
      <w:proofErr w:type="spellEnd"/>
      <w:r w:rsidRPr="005409A1">
        <w:rPr>
          <w:rFonts w:ascii="Verdana" w:hAnsi="Verdana"/>
        </w:rPr>
        <w:t xml:space="preserve"> или на допълнително споразумение за замяна на посочен в офертата подизпълнител, изпълнителят е длъжен да предостави копие на договора или на допълнителното споразумение на възложителя заедно с доказателства, че са изпълнени условията по чл. 66, ал. 2 и 11 ЗОП.</w:t>
      </w:r>
    </w:p>
    <w:p w:rsidR="00967A65" w:rsidRDefault="00967A65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EB5054">
        <w:rPr>
          <w:rFonts w:ascii="Verdana" w:hAnsi="Verdana"/>
          <w:b/>
        </w:rPr>
        <w:t>ХІІ. ДРУГА ИНФОРМАЦИЯ</w:t>
      </w:r>
    </w:p>
    <w:p w:rsidR="00283F48" w:rsidRPr="00EB5054" w:rsidRDefault="00283F48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8621D3" w:rsidRPr="00540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409A1">
        <w:rPr>
          <w:rFonts w:ascii="Verdana" w:hAnsi="Verdana"/>
        </w:rPr>
        <w:t>Участниците са длъжни да уведомяват възложителя за всички промени в декларираните обстоятелства, писмено в 3-дневен срок от настъпването на съответната промяна.</w:t>
      </w:r>
    </w:p>
    <w:p w:rsidR="008621D3" w:rsidRPr="005409A1" w:rsidRDefault="008621D3" w:rsidP="00AD407E">
      <w:pPr>
        <w:spacing w:after="0" w:line="360" w:lineRule="auto"/>
        <w:jc w:val="both"/>
        <w:rPr>
          <w:rFonts w:ascii="Verdana" w:hAnsi="Verdana"/>
        </w:rPr>
      </w:pPr>
      <w:r w:rsidRPr="005409A1">
        <w:rPr>
          <w:rFonts w:ascii="Verdana" w:hAnsi="Verdana"/>
        </w:rPr>
        <w:t xml:space="preserve">За неуредените в настоящата документация въпроси, се прилагат разпоредбите на Закона за обществени поръчки, </w:t>
      </w:r>
      <w:r w:rsidR="00634FE7">
        <w:rPr>
          <w:rFonts w:ascii="Verdana" w:hAnsi="Verdana"/>
        </w:rPr>
        <w:t xml:space="preserve">Правилника за прилагане на закона за обществените поръчки, </w:t>
      </w:r>
      <w:r w:rsidRPr="005409A1">
        <w:rPr>
          <w:rFonts w:ascii="Verdana" w:hAnsi="Verdana"/>
        </w:rPr>
        <w:t>Търговския закон, Закона за задълженията и договорите, както и приложимите национални и международни нормативни актове, съобразно предмета на поръчката.</w:t>
      </w:r>
    </w:p>
    <w:p w:rsidR="00967A65" w:rsidRDefault="00967A65" w:rsidP="00AD407E">
      <w:pPr>
        <w:spacing w:after="0" w:line="360" w:lineRule="auto"/>
        <w:jc w:val="both"/>
        <w:rPr>
          <w:rFonts w:ascii="Verdana" w:hAnsi="Verdana"/>
          <w:b/>
        </w:rPr>
      </w:pPr>
    </w:p>
    <w:p w:rsidR="00EB56AA" w:rsidRDefault="008621D3" w:rsidP="00AD407E">
      <w:pPr>
        <w:spacing w:after="0" w:line="360" w:lineRule="auto"/>
        <w:jc w:val="both"/>
        <w:rPr>
          <w:rFonts w:ascii="Verdana" w:hAnsi="Verdana"/>
          <w:b/>
        </w:rPr>
      </w:pPr>
      <w:r w:rsidRPr="00634FE7">
        <w:rPr>
          <w:rFonts w:ascii="Verdana" w:hAnsi="Verdana"/>
          <w:b/>
        </w:rPr>
        <w:t xml:space="preserve">ХІІІ. ПРИЛОЖЕНИЯ № 1 </w:t>
      </w:r>
      <w:r w:rsidR="00C34A8A">
        <w:rPr>
          <w:rFonts w:ascii="Verdana" w:hAnsi="Verdana"/>
          <w:b/>
        </w:rPr>
        <w:t>–</w:t>
      </w:r>
      <w:r w:rsidRPr="00634FE7">
        <w:rPr>
          <w:rFonts w:ascii="Verdana" w:hAnsi="Verdana"/>
          <w:b/>
        </w:rPr>
        <w:t xml:space="preserve"> </w:t>
      </w:r>
      <w:r w:rsidR="004F637C">
        <w:rPr>
          <w:rFonts w:ascii="Verdana" w:hAnsi="Verdana"/>
          <w:b/>
          <w:lang w:val="en-US"/>
        </w:rPr>
        <w:t>10</w:t>
      </w:r>
    </w:p>
    <w:p w:rsidR="00C34A8A" w:rsidRPr="007E2C1C" w:rsidRDefault="00305DDD" w:rsidP="00AD407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hAnsi="Verdana"/>
          <w:b/>
          <w:color w:val="FFFFFF" w:themeColor="background1"/>
        </w:rPr>
      </w:pPr>
      <w:bookmarkStart w:id="0" w:name="_GoBack"/>
      <w:bookmarkEnd w:id="0"/>
      <w:r w:rsidRPr="007E2C1C">
        <w:rPr>
          <w:rFonts w:ascii="Verdana" w:eastAsia="Times New Roman" w:hAnsi="Verdana" w:cs="Times New Roman"/>
          <w:color w:val="FFFFFF" w:themeColor="background1"/>
          <w:sz w:val="18"/>
          <w:szCs w:val="18"/>
        </w:rPr>
        <w:t>а отдел БФС</w:t>
      </w:r>
    </w:p>
    <w:sectPr w:rsidR="00C34A8A" w:rsidRPr="007E2C1C" w:rsidSect="00283F48">
      <w:headerReference w:type="default" r:id="rId11"/>
      <w:footerReference w:type="default" r:id="rId12"/>
      <w:pgSz w:w="11906" w:h="16838"/>
      <w:pgMar w:top="1418" w:right="1133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07" w:rsidRDefault="00001E07" w:rsidP="00417591">
      <w:pPr>
        <w:spacing w:after="0" w:line="240" w:lineRule="auto"/>
      </w:pPr>
      <w:r>
        <w:separator/>
      </w:r>
    </w:p>
  </w:endnote>
  <w:endnote w:type="continuationSeparator" w:id="0">
    <w:p w:rsidR="00001E07" w:rsidRDefault="00001E07" w:rsidP="00417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27444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265F" w:rsidRDefault="00F426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400D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F4265F" w:rsidRDefault="00F426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07" w:rsidRDefault="00001E07" w:rsidP="00417591">
      <w:pPr>
        <w:spacing w:after="0" w:line="240" w:lineRule="auto"/>
      </w:pPr>
      <w:r>
        <w:separator/>
      </w:r>
    </w:p>
  </w:footnote>
  <w:footnote w:type="continuationSeparator" w:id="0">
    <w:p w:rsidR="00001E07" w:rsidRDefault="00001E07" w:rsidP="00417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287" w:type="dxa"/>
      <w:jc w:val="center"/>
      <w:tblInd w:w="1045" w:type="dxa"/>
      <w:tblLook w:val="04A0" w:firstRow="1" w:lastRow="0" w:firstColumn="1" w:lastColumn="0" w:noHBand="0" w:noVBand="1"/>
    </w:tblPr>
    <w:tblGrid>
      <w:gridCol w:w="1755"/>
      <w:gridCol w:w="2923"/>
      <w:gridCol w:w="2357"/>
      <w:gridCol w:w="4252"/>
    </w:tblGrid>
    <w:tr w:rsidR="00417591" w:rsidRPr="00417591" w:rsidTr="00A52221">
      <w:trPr>
        <w:jc w:val="center"/>
      </w:trPr>
      <w:tc>
        <w:tcPr>
          <w:tcW w:w="1755" w:type="dxa"/>
        </w:tcPr>
        <w:p w:rsidR="00417591" w:rsidRPr="00417591" w:rsidRDefault="00417591" w:rsidP="00417591">
          <w:pPr>
            <w:tabs>
              <w:tab w:val="center" w:pos="4536"/>
              <w:tab w:val="right" w:pos="9072"/>
            </w:tabs>
            <w:spacing w:after="0" w:line="240" w:lineRule="auto"/>
            <w:ind w:left="110"/>
            <w:rPr>
              <w:rFonts w:ascii="Verdana" w:eastAsia="Times New Roman" w:hAnsi="Verdana" w:cs="Times New Roman"/>
              <w:sz w:val="18"/>
              <w:lang w:val="cs-CZ" w:eastAsia="bg-BG"/>
            </w:rPr>
          </w:pPr>
          <w:bookmarkStart w:id="1" w:name="OLE_LINK1"/>
        </w:p>
      </w:tc>
      <w:tc>
        <w:tcPr>
          <w:tcW w:w="2923" w:type="dxa"/>
          <w:vAlign w:val="center"/>
        </w:tcPr>
        <w:p w:rsidR="00417591" w:rsidRPr="00417591" w:rsidRDefault="00417591" w:rsidP="00A5222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sz w:val="18"/>
              <w:lang w:val="cs-CZ" w:eastAsia="bg-BG"/>
            </w:rPr>
          </w:pPr>
        </w:p>
      </w:tc>
      <w:tc>
        <w:tcPr>
          <w:tcW w:w="2357" w:type="dxa"/>
        </w:tcPr>
        <w:p w:rsidR="00417591" w:rsidRPr="00417591" w:rsidRDefault="00417591" w:rsidP="00417591">
          <w:pPr>
            <w:tabs>
              <w:tab w:val="left" w:pos="2141"/>
              <w:tab w:val="center" w:pos="5562"/>
              <w:tab w:val="right" w:pos="9072"/>
            </w:tabs>
            <w:spacing w:after="0" w:line="240" w:lineRule="auto"/>
            <w:ind w:left="265" w:right="-108"/>
            <w:jc w:val="center"/>
            <w:rPr>
              <w:rFonts w:ascii="Verdana" w:eastAsia="Times New Roman" w:hAnsi="Verdana" w:cs="Times New Roman"/>
              <w:b/>
              <w:sz w:val="18"/>
              <w:lang w:val="cs-CZ" w:eastAsia="bg-BG"/>
            </w:rPr>
          </w:pPr>
        </w:p>
      </w:tc>
      <w:tc>
        <w:tcPr>
          <w:tcW w:w="4252" w:type="dxa"/>
        </w:tcPr>
        <w:p w:rsidR="00417591" w:rsidRPr="00417591" w:rsidRDefault="00417591" w:rsidP="00417591">
          <w:pPr>
            <w:tabs>
              <w:tab w:val="center" w:pos="4536"/>
              <w:tab w:val="right" w:pos="9072"/>
            </w:tabs>
            <w:spacing w:after="0" w:line="240" w:lineRule="auto"/>
            <w:ind w:left="-44"/>
            <w:jc w:val="center"/>
            <w:rPr>
              <w:rFonts w:ascii="Verdana" w:eastAsia="Times New Roman" w:hAnsi="Verdana" w:cs="Times New Roman"/>
              <w:sz w:val="18"/>
              <w:lang w:val="cs-CZ" w:eastAsia="bg-BG"/>
            </w:rPr>
          </w:pPr>
        </w:p>
      </w:tc>
    </w:tr>
    <w:bookmarkEnd w:id="1"/>
  </w:tbl>
  <w:p w:rsidR="00417591" w:rsidRDefault="004175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6A85"/>
    <w:multiLevelType w:val="multilevel"/>
    <w:tmpl w:val="97A8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B1465"/>
    <w:multiLevelType w:val="hybridMultilevel"/>
    <w:tmpl w:val="EF22694E"/>
    <w:lvl w:ilvl="0" w:tplc="5770F5C4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1024A"/>
    <w:multiLevelType w:val="hybridMultilevel"/>
    <w:tmpl w:val="34A28E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33D95"/>
    <w:multiLevelType w:val="hybridMultilevel"/>
    <w:tmpl w:val="AC52505C"/>
    <w:lvl w:ilvl="0" w:tplc="3CE0C3E6">
      <w:start w:val="1"/>
      <w:numFmt w:val="decimal"/>
      <w:lvlText w:val="%1."/>
      <w:lvlJc w:val="left"/>
      <w:pPr>
        <w:ind w:left="2145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865" w:hanging="360"/>
      </w:pPr>
    </w:lvl>
    <w:lvl w:ilvl="2" w:tplc="0402001B" w:tentative="1">
      <w:start w:val="1"/>
      <w:numFmt w:val="lowerRoman"/>
      <w:lvlText w:val="%3."/>
      <w:lvlJc w:val="right"/>
      <w:pPr>
        <w:ind w:left="3585" w:hanging="180"/>
      </w:pPr>
    </w:lvl>
    <w:lvl w:ilvl="3" w:tplc="0402000F" w:tentative="1">
      <w:start w:val="1"/>
      <w:numFmt w:val="decimal"/>
      <w:lvlText w:val="%4."/>
      <w:lvlJc w:val="left"/>
      <w:pPr>
        <w:ind w:left="4305" w:hanging="360"/>
      </w:pPr>
    </w:lvl>
    <w:lvl w:ilvl="4" w:tplc="04020019" w:tentative="1">
      <w:start w:val="1"/>
      <w:numFmt w:val="lowerLetter"/>
      <w:lvlText w:val="%5."/>
      <w:lvlJc w:val="left"/>
      <w:pPr>
        <w:ind w:left="5025" w:hanging="360"/>
      </w:pPr>
    </w:lvl>
    <w:lvl w:ilvl="5" w:tplc="0402001B" w:tentative="1">
      <w:start w:val="1"/>
      <w:numFmt w:val="lowerRoman"/>
      <w:lvlText w:val="%6."/>
      <w:lvlJc w:val="right"/>
      <w:pPr>
        <w:ind w:left="5745" w:hanging="180"/>
      </w:pPr>
    </w:lvl>
    <w:lvl w:ilvl="6" w:tplc="0402000F" w:tentative="1">
      <w:start w:val="1"/>
      <w:numFmt w:val="decimal"/>
      <w:lvlText w:val="%7."/>
      <w:lvlJc w:val="left"/>
      <w:pPr>
        <w:ind w:left="6465" w:hanging="360"/>
      </w:pPr>
    </w:lvl>
    <w:lvl w:ilvl="7" w:tplc="04020019" w:tentative="1">
      <w:start w:val="1"/>
      <w:numFmt w:val="lowerLetter"/>
      <w:lvlText w:val="%8."/>
      <w:lvlJc w:val="left"/>
      <w:pPr>
        <w:ind w:left="7185" w:hanging="360"/>
      </w:pPr>
    </w:lvl>
    <w:lvl w:ilvl="8" w:tplc="0402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>
    <w:nsid w:val="28D408B2"/>
    <w:multiLevelType w:val="hybridMultilevel"/>
    <w:tmpl w:val="C83E9782"/>
    <w:lvl w:ilvl="0" w:tplc="D31C96E2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DB4BEB"/>
    <w:multiLevelType w:val="hybridMultilevel"/>
    <w:tmpl w:val="ED6CEAAA"/>
    <w:lvl w:ilvl="0" w:tplc="94CE063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03" w:hanging="360"/>
      </w:pPr>
    </w:lvl>
    <w:lvl w:ilvl="2" w:tplc="0402001B" w:tentative="1">
      <w:start w:val="1"/>
      <w:numFmt w:val="lowerRoman"/>
      <w:lvlText w:val="%3."/>
      <w:lvlJc w:val="right"/>
      <w:pPr>
        <w:ind w:left="1823" w:hanging="180"/>
      </w:pPr>
    </w:lvl>
    <w:lvl w:ilvl="3" w:tplc="0402000F" w:tentative="1">
      <w:start w:val="1"/>
      <w:numFmt w:val="decimal"/>
      <w:lvlText w:val="%4."/>
      <w:lvlJc w:val="left"/>
      <w:pPr>
        <w:ind w:left="2543" w:hanging="360"/>
      </w:pPr>
    </w:lvl>
    <w:lvl w:ilvl="4" w:tplc="04020019" w:tentative="1">
      <w:start w:val="1"/>
      <w:numFmt w:val="lowerLetter"/>
      <w:lvlText w:val="%5."/>
      <w:lvlJc w:val="left"/>
      <w:pPr>
        <w:ind w:left="3263" w:hanging="360"/>
      </w:pPr>
    </w:lvl>
    <w:lvl w:ilvl="5" w:tplc="0402001B" w:tentative="1">
      <w:start w:val="1"/>
      <w:numFmt w:val="lowerRoman"/>
      <w:lvlText w:val="%6."/>
      <w:lvlJc w:val="right"/>
      <w:pPr>
        <w:ind w:left="3983" w:hanging="180"/>
      </w:pPr>
    </w:lvl>
    <w:lvl w:ilvl="6" w:tplc="0402000F" w:tentative="1">
      <w:start w:val="1"/>
      <w:numFmt w:val="decimal"/>
      <w:lvlText w:val="%7."/>
      <w:lvlJc w:val="left"/>
      <w:pPr>
        <w:ind w:left="4703" w:hanging="360"/>
      </w:pPr>
    </w:lvl>
    <w:lvl w:ilvl="7" w:tplc="04020019" w:tentative="1">
      <w:start w:val="1"/>
      <w:numFmt w:val="lowerLetter"/>
      <w:lvlText w:val="%8."/>
      <w:lvlJc w:val="left"/>
      <w:pPr>
        <w:ind w:left="5423" w:hanging="360"/>
      </w:pPr>
    </w:lvl>
    <w:lvl w:ilvl="8" w:tplc="0402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>
    <w:nsid w:val="4355591C"/>
    <w:multiLevelType w:val="hybridMultilevel"/>
    <w:tmpl w:val="9A2E64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304FE6"/>
    <w:multiLevelType w:val="hybridMultilevel"/>
    <w:tmpl w:val="D7902CDA"/>
    <w:lvl w:ilvl="0" w:tplc="C78A9F46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22452"/>
    <w:multiLevelType w:val="hybridMultilevel"/>
    <w:tmpl w:val="C2084E50"/>
    <w:lvl w:ilvl="0" w:tplc="DD32680A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8E1AFC"/>
    <w:multiLevelType w:val="hybridMultilevel"/>
    <w:tmpl w:val="622ED258"/>
    <w:lvl w:ilvl="0" w:tplc="73F608A8">
      <w:numFmt w:val="bullet"/>
      <w:lvlText w:val="-"/>
      <w:lvlJc w:val="left"/>
      <w:pPr>
        <w:ind w:left="1050" w:hanging="69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D02B3B"/>
    <w:multiLevelType w:val="hybridMultilevel"/>
    <w:tmpl w:val="4C7805C6"/>
    <w:lvl w:ilvl="0" w:tplc="76E81C3E">
      <w:start w:val="1"/>
      <w:numFmt w:val="upperRoman"/>
      <w:lvlText w:val="%1."/>
      <w:lvlJc w:val="left"/>
      <w:pPr>
        <w:ind w:left="2505" w:hanging="720"/>
      </w:pPr>
      <w:rPr>
        <w:rFonts w:hint="default"/>
        <w:strike w:val="0"/>
      </w:rPr>
    </w:lvl>
    <w:lvl w:ilvl="1" w:tplc="0BCE32A8">
      <w:numFmt w:val="bullet"/>
      <w:lvlText w:val="-"/>
      <w:lvlJc w:val="left"/>
      <w:pPr>
        <w:ind w:left="2145" w:hanging="360"/>
      </w:pPr>
      <w:rPr>
        <w:rFonts w:ascii="Verdana" w:eastAsia="Times New Roman" w:hAnsi="Verdana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5F3F313B"/>
    <w:multiLevelType w:val="hybridMultilevel"/>
    <w:tmpl w:val="D7986C86"/>
    <w:lvl w:ilvl="0" w:tplc="34843000">
      <w:start w:val="3"/>
      <w:numFmt w:val="bullet"/>
      <w:lvlText w:val="-"/>
      <w:lvlJc w:val="left"/>
      <w:pPr>
        <w:ind w:left="2280" w:hanging="360"/>
      </w:pPr>
      <w:rPr>
        <w:rFonts w:ascii="TimesNewRomanPSMT" w:eastAsia="Calibri" w:hAnsi="TimesNewRomanPSMT" w:cs="TimesNewRomanPSMT" w:hint="default"/>
      </w:rPr>
    </w:lvl>
    <w:lvl w:ilvl="1" w:tplc="34843000">
      <w:start w:val="3"/>
      <w:numFmt w:val="bullet"/>
      <w:lvlText w:val="-"/>
      <w:lvlJc w:val="left"/>
      <w:pPr>
        <w:ind w:left="2345" w:hanging="360"/>
      </w:pPr>
      <w:rPr>
        <w:rFonts w:ascii="TimesNewRomanPSMT" w:eastAsia="Calibri" w:hAnsi="TimesNewRomanPSMT" w:cs="TimesNewRomanPSMT" w:hint="default"/>
      </w:rPr>
    </w:lvl>
    <w:lvl w:ilvl="2" w:tplc="0402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>
    <w:nsid w:val="5FBA3EB7"/>
    <w:multiLevelType w:val="hybridMultilevel"/>
    <w:tmpl w:val="889C35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C40134"/>
    <w:multiLevelType w:val="hybridMultilevel"/>
    <w:tmpl w:val="BDCE2606"/>
    <w:lvl w:ilvl="0" w:tplc="B118939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5B7BB9"/>
    <w:multiLevelType w:val="hybridMultilevel"/>
    <w:tmpl w:val="BAC46808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3"/>
  </w:num>
  <w:num w:numId="5">
    <w:abstractNumId w:val="1"/>
  </w:num>
  <w:num w:numId="6">
    <w:abstractNumId w:val="0"/>
  </w:num>
  <w:num w:numId="7">
    <w:abstractNumId w:val="6"/>
  </w:num>
  <w:num w:numId="8">
    <w:abstractNumId w:val="9"/>
  </w:num>
  <w:num w:numId="9">
    <w:abstractNumId w:val="10"/>
  </w:num>
  <w:num w:numId="10">
    <w:abstractNumId w:val="14"/>
  </w:num>
  <w:num w:numId="11">
    <w:abstractNumId w:val="12"/>
  </w:num>
  <w:num w:numId="12">
    <w:abstractNumId w:val="3"/>
  </w:num>
  <w:num w:numId="13">
    <w:abstractNumId w:val="5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51"/>
    <w:rsid w:val="00001E07"/>
    <w:rsid w:val="00013F0A"/>
    <w:rsid w:val="00017AF6"/>
    <w:rsid w:val="00046508"/>
    <w:rsid w:val="00054F8D"/>
    <w:rsid w:val="00056F7E"/>
    <w:rsid w:val="000704BB"/>
    <w:rsid w:val="00077897"/>
    <w:rsid w:val="000929FF"/>
    <w:rsid w:val="00093942"/>
    <w:rsid w:val="000A2919"/>
    <w:rsid w:val="000A4B48"/>
    <w:rsid w:val="000A716C"/>
    <w:rsid w:val="000B23EC"/>
    <w:rsid w:val="000B37F6"/>
    <w:rsid w:val="000B79C8"/>
    <w:rsid w:val="000C0CD9"/>
    <w:rsid w:val="000C3F98"/>
    <w:rsid w:val="000D34E5"/>
    <w:rsid w:val="000E0000"/>
    <w:rsid w:val="000E052D"/>
    <w:rsid w:val="000E3DD3"/>
    <w:rsid w:val="000F1CE7"/>
    <w:rsid w:val="0010382E"/>
    <w:rsid w:val="001106C9"/>
    <w:rsid w:val="00153152"/>
    <w:rsid w:val="00154446"/>
    <w:rsid w:val="00156521"/>
    <w:rsid w:val="001647E1"/>
    <w:rsid w:val="001708D9"/>
    <w:rsid w:val="00176C48"/>
    <w:rsid w:val="00183963"/>
    <w:rsid w:val="001851FB"/>
    <w:rsid w:val="00186F2F"/>
    <w:rsid w:val="001874F4"/>
    <w:rsid w:val="001A02EC"/>
    <w:rsid w:val="001D183C"/>
    <w:rsid w:val="001D493F"/>
    <w:rsid w:val="001D6179"/>
    <w:rsid w:val="001E6EA1"/>
    <w:rsid w:val="001F59D0"/>
    <w:rsid w:val="002039E9"/>
    <w:rsid w:val="002145A5"/>
    <w:rsid w:val="00223F1F"/>
    <w:rsid w:val="00231E24"/>
    <w:rsid w:val="00236340"/>
    <w:rsid w:val="00243BA4"/>
    <w:rsid w:val="00253DF6"/>
    <w:rsid w:val="00271C73"/>
    <w:rsid w:val="0027740D"/>
    <w:rsid w:val="00283F48"/>
    <w:rsid w:val="002919A1"/>
    <w:rsid w:val="0029250E"/>
    <w:rsid w:val="002A2C65"/>
    <w:rsid w:val="002C3851"/>
    <w:rsid w:val="002D1C2F"/>
    <w:rsid w:val="002D391E"/>
    <w:rsid w:val="002E057E"/>
    <w:rsid w:val="002E07CA"/>
    <w:rsid w:val="002F0E54"/>
    <w:rsid w:val="002F6393"/>
    <w:rsid w:val="002F7D48"/>
    <w:rsid w:val="00305DDD"/>
    <w:rsid w:val="0031055A"/>
    <w:rsid w:val="00311D74"/>
    <w:rsid w:val="00337980"/>
    <w:rsid w:val="003424A0"/>
    <w:rsid w:val="00342ABF"/>
    <w:rsid w:val="003665B0"/>
    <w:rsid w:val="00370701"/>
    <w:rsid w:val="00382BA6"/>
    <w:rsid w:val="003874AC"/>
    <w:rsid w:val="00392092"/>
    <w:rsid w:val="003C080C"/>
    <w:rsid w:val="003D19AE"/>
    <w:rsid w:val="003D7B42"/>
    <w:rsid w:val="003F1548"/>
    <w:rsid w:val="003F20AD"/>
    <w:rsid w:val="004152F4"/>
    <w:rsid w:val="00417591"/>
    <w:rsid w:val="00420A8E"/>
    <w:rsid w:val="00421D57"/>
    <w:rsid w:val="00426B4B"/>
    <w:rsid w:val="00434738"/>
    <w:rsid w:val="00444A18"/>
    <w:rsid w:val="00465348"/>
    <w:rsid w:val="00473C0F"/>
    <w:rsid w:val="00481E78"/>
    <w:rsid w:val="00485A50"/>
    <w:rsid w:val="00491BC8"/>
    <w:rsid w:val="00495848"/>
    <w:rsid w:val="00496D05"/>
    <w:rsid w:val="004A1003"/>
    <w:rsid w:val="004D6CB7"/>
    <w:rsid w:val="004E62B2"/>
    <w:rsid w:val="004F637C"/>
    <w:rsid w:val="00515A66"/>
    <w:rsid w:val="00522820"/>
    <w:rsid w:val="00540909"/>
    <w:rsid w:val="005409A1"/>
    <w:rsid w:val="005413B7"/>
    <w:rsid w:val="00551151"/>
    <w:rsid w:val="00553700"/>
    <w:rsid w:val="00561784"/>
    <w:rsid w:val="005656F5"/>
    <w:rsid w:val="0057218F"/>
    <w:rsid w:val="00572AFE"/>
    <w:rsid w:val="0057741E"/>
    <w:rsid w:val="0058020D"/>
    <w:rsid w:val="005B16E4"/>
    <w:rsid w:val="005C4339"/>
    <w:rsid w:val="005D08CE"/>
    <w:rsid w:val="005E4A2F"/>
    <w:rsid w:val="005E6593"/>
    <w:rsid w:val="0060104B"/>
    <w:rsid w:val="00603ADF"/>
    <w:rsid w:val="00607760"/>
    <w:rsid w:val="0061216E"/>
    <w:rsid w:val="00621790"/>
    <w:rsid w:val="00632441"/>
    <w:rsid w:val="00634FE7"/>
    <w:rsid w:val="006627CA"/>
    <w:rsid w:val="006733D0"/>
    <w:rsid w:val="0067608B"/>
    <w:rsid w:val="006B0856"/>
    <w:rsid w:val="006B28E0"/>
    <w:rsid w:val="006E7894"/>
    <w:rsid w:val="00701A34"/>
    <w:rsid w:val="0070621C"/>
    <w:rsid w:val="0071492B"/>
    <w:rsid w:val="00715D0B"/>
    <w:rsid w:val="00724A55"/>
    <w:rsid w:val="00750602"/>
    <w:rsid w:val="0076090F"/>
    <w:rsid w:val="0076592C"/>
    <w:rsid w:val="007737F9"/>
    <w:rsid w:val="00787989"/>
    <w:rsid w:val="007A6878"/>
    <w:rsid w:val="007B236B"/>
    <w:rsid w:val="007B2763"/>
    <w:rsid w:val="007B4E37"/>
    <w:rsid w:val="007C4248"/>
    <w:rsid w:val="007C7515"/>
    <w:rsid w:val="007E2C1C"/>
    <w:rsid w:val="007E3BD9"/>
    <w:rsid w:val="007F72BA"/>
    <w:rsid w:val="007F796D"/>
    <w:rsid w:val="00801319"/>
    <w:rsid w:val="008060FE"/>
    <w:rsid w:val="0081785A"/>
    <w:rsid w:val="00847FE0"/>
    <w:rsid w:val="0085114E"/>
    <w:rsid w:val="008621D3"/>
    <w:rsid w:val="0086783C"/>
    <w:rsid w:val="00880444"/>
    <w:rsid w:val="008840C2"/>
    <w:rsid w:val="00884229"/>
    <w:rsid w:val="00884DDD"/>
    <w:rsid w:val="00894312"/>
    <w:rsid w:val="00897772"/>
    <w:rsid w:val="008A5621"/>
    <w:rsid w:val="008C0F2B"/>
    <w:rsid w:val="008C3BE3"/>
    <w:rsid w:val="008D4B4D"/>
    <w:rsid w:val="008D5A06"/>
    <w:rsid w:val="008E0918"/>
    <w:rsid w:val="008F3DC5"/>
    <w:rsid w:val="00901AEC"/>
    <w:rsid w:val="00921C95"/>
    <w:rsid w:val="00930C59"/>
    <w:rsid w:val="009400D4"/>
    <w:rsid w:val="009444C8"/>
    <w:rsid w:val="009542EA"/>
    <w:rsid w:val="009548BD"/>
    <w:rsid w:val="00956497"/>
    <w:rsid w:val="009667CA"/>
    <w:rsid w:val="00967A65"/>
    <w:rsid w:val="00971217"/>
    <w:rsid w:val="0097228A"/>
    <w:rsid w:val="00973DE7"/>
    <w:rsid w:val="00981062"/>
    <w:rsid w:val="00983073"/>
    <w:rsid w:val="00984CFA"/>
    <w:rsid w:val="0099400D"/>
    <w:rsid w:val="009943AE"/>
    <w:rsid w:val="009A2EBF"/>
    <w:rsid w:val="009A50E2"/>
    <w:rsid w:val="009A534A"/>
    <w:rsid w:val="009B5F91"/>
    <w:rsid w:val="009D57A9"/>
    <w:rsid w:val="009E1D46"/>
    <w:rsid w:val="009F30A2"/>
    <w:rsid w:val="009F4298"/>
    <w:rsid w:val="009F78FE"/>
    <w:rsid w:val="00A0159F"/>
    <w:rsid w:val="00A21AD5"/>
    <w:rsid w:val="00A50AB3"/>
    <w:rsid w:val="00A52221"/>
    <w:rsid w:val="00A57588"/>
    <w:rsid w:val="00A6241C"/>
    <w:rsid w:val="00A765E8"/>
    <w:rsid w:val="00A82C32"/>
    <w:rsid w:val="00AA04D3"/>
    <w:rsid w:val="00AC7776"/>
    <w:rsid w:val="00AD407E"/>
    <w:rsid w:val="00AD78CB"/>
    <w:rsid w:val="00AD7D79"/>
    <w:rsid w:val="00AF37F2"/>
    <w:rsid w:val="00AF629F"/>
    <w:rsid w:val="00B048F3"/>
    <w:rsid w:val="00B06465"/>
    <w:rsid w:val="00B12F66"/>
    <w:rsid w:val="00B27FEF"/>
    <w:rsid w:val="00B73AED"/>
    <w:rsid w:val="00B76A76"/>
    <w:rsid w:val="00B80D69"/>
    <w:rsid w:val="00B9265E"/>
    <w:rsid w:val="00BB51EE"/>
    <w:rsid w:val="00BF223A"/>
    <w:rsid w:val="00C008C9"/>
    <w:rsid w:val="00C12014"/>
    <w:rsid w:val="00C12515"/>
    <w:rsid w:val="00C20041"/>
    <w:rsid w:val="00C21EDB"/>
    <w:rsid w:val="00C23EBB"/>
    <w:rsid w:val="00C26B66"/>
    <w:rsid w:val="00C273A8"/>
    <w:rsid w:val="00C31142"/>
    <w:rsid w:val="00C34A8A"/>
    <w:rsid w:val="00C41B66"/>
    <w:rsid w:val="00C61A11"/>
    <w:rsid w:val="00C7087F"/>
    <w:rsid w:val="00C92C02"/>
    <w:rsid w:val="00C93F3A"/>
    <w:rsid w:val="00CC10A2"/>
    <w:rsid w:val="00CC7746"/>
    <w:rsid w:val="00CE4E43"/>
    <w:rsid w:val="00CF08F0"/>
    <w:rsid w:val="00D0799C"/>
    <w:rsid w:val="00D102FE"/>
    <w:rsid w:val="00D1455A"/>
    <w:rsid w:val="00D14A29"/>
    <w:rsid w:val="00D1664E"/>
    <w:rsid w:val="00D239F6"/>
    <w:rsid w:val="00D362DF"/>
    <w:rsid w:val="00D402C8"/>
    <w:rsid w:val="00D42AED"/>
    <w:rsid w:val="00D45D91"/>
    <w:rsid w:val="00D663F8"/>
    <w:rsid w:val="00D67E97"/>
    <w:rsid w:val="00D74B9B"/>
    <w:rsid w:val="00DA1D92"/>
    <w:rsid w:val="00DA5ABB"/>
    <w:rsid w:val="00DB6023"/>
    <w:rsid w:val="00DC647D"/>
    <w:rsid w:val="00DD47EB"/>
    <w:rsid w:val="00DF67A4"/>
    <w:rsid w:val="00E11EC3"/>
    <w:rsid w:val="00E20739"/>
    <w:rsid w:val="00E9642B"/>
    <w:rsid w:val="00EA091D"/>
    <w:rsid w:val="00EA743A"/>
    <w:rsid w:val="00EB5054"/>
    <w:rsid w:val="00EB56AA"/>
    <w:rsid w:val="00ED4680"/>
    <w:rsid w:val="00ED48E5"/>
    <w:rsid w:val="00EE16A8"/>
    <w:rsid w:val="00EF08B3"/>
    <w:rsid w:val="00EF4EBA"/>
    <w:rsid w:val="00F11F2B"/>
    <w:rsid w:val="00F22849"/>
    <w:rsid w:val="00F24FE7"/>
    <w:rsid w:val="00F27127"/>
    <w:rsid w:val="00F300FE"/>
    <w:rsid w:val="00F3333B"/>
    <w:rsid w:val="00F36B60"/>
    <w:rsid w:val="00F41A7C"/>
    <w:rsid w:val="00F4265F"/>
    <w:rsid w:val="00F66F67"/>
    <w:rsid w:val="00F71821"/>
    <w:rsid w:val="00FA1700"/>
    <w:rsid w:val="00FA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7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4A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0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6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7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591"/>
  </w:style>
  <w:style w:type="paragraph" w:styleId="Footer">
    <w:name w:val="footer"/>
    <w:basedOn w:val="Normal"/>
    <w:link w:val="FooterChar"/>
    <w:uiPriority w:val="99"/>
    <w:unhideWhenUsed/>
    <w:rsid w:val="00417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591"/>
  </w:style>
  <w:style w:type="paragraph" w:styleId="NoSpacing">
    <w:name w:val="No Spacing"/>
    <w:uiPriority w:val="1"/>
    <w:qFormat/>
    <w:rsid w:val="00E11E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7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4A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0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6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7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591"/>
  </w:style>
  <w:style w:type="paragraph" w:styleId="Footer">
    <w:name w:val="footer"/>
    <w:basedOn w:val="Normal"/>
    <w:link w:val="FooterChar"/>
    <w:uiPriority w:val="99"/>
    <w:unhideWhenUsed/>
    <w:rsid w:val="00417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591"/>
  </w:style>
  <w:style w:type="paragraph" w:styleId="NoSpacing">
    <w:name w:val="No Spacing"/>
    <w:uiPriority w:val="1"/>
    <w:qFormat/>
    <w:rsid w:val="00E11E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95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me.government.bg/bg/competitions/izvarshvane-na-markshaiderski-izmervaniya-za-opredelyane-na-fakticheskoto-polojenie-na-minnite-izrabotki-1259-c363-1.html?p=e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&#1077;.government.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D8CA9-CA69-4C66-9EE3-CF831A45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5614</Words>
  <Characters>32001</Characters>
  <Application>Microsoft Office Word</Application>
  <DocSecurity>0</DocSecurity>
  <Lines>266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MEET</cp:lastModifiedBy>
  <cp:revision>3</cp:revision>
  <cp:lastPrinted>2019-02-06T09:34:00Z</cp:lastPrinted>
  <dcterms:created xsi:type="dcterms:W3CDTF">2019-02-22T13:54:00Z</dcterms:created>
  <dcterms:modified xsi:type="dcterms:W3CDTF">2019-02-25T07:33:00Z</dcterms:modified>
</cp:coreProperties>
</file>